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F45" w:rsidRDefault="00427F45"/>
    <w:p w:rsidR="00F80490" w:rsidRDefault="00F80490"/>
    <w:p w:rsidR="00F80490" w:rsidRPr="00F3520E" w:rsidRDefault="00F80490" w:rsidP="00F80490">
      <w:pPr>
        <w:ind w:left="1416" w:firstLine="708"/>
        <w:rPr>
          <w:b/>
          <w:sz w:val="24"/>
          <w:szCs w:val="24"/>
        </w:rPr>
      </w:pPr>
      <w:r w:rsidRPr="00F3520E">
        <w:rPr>
          <w:b/>
          <w:sz w:val="24"/>
          <w:szCs w:val="24"/>
        </w:rPr>
        <w:t>ДО</w:t>
      </w:r>
    </w:p>
    <w:p w:rsidR="00F80490" w:rsidRPr="00F3520E" w:rsidRDefault="00F80490" w:rsidP="00F80490">
      <w:pPr>
        <w:rPr>
          <w:b/>
          <w:sz w:val="24"/>
          <w:szCs w:val="24"/>
        </w:rPr>
      </w:pPr>
      <w:r w:rsidRPr="00F3520E">
        <w:rPr>
          <w:b/>
          <w:sz w:val="24"/>
          <w:szCs w:val="24"/>
        </w:rPr>
        <w:tab/>
      </w:r>
      <w:r w:rsidRPr="00F3520E">
        <w:rPr>
          <w:b/>
          <w:sz w:val="24"/>
          <w:szCs w:val="24"/>
        </w:rPr>
        <w:tab/>
      </w:r>
      <w:r w:rsidRPr="00F3520E">
        <w:rPr>
          <w:b/>
          <w:sz w:val="24"/>
          <w:szCs w:val="24"/>
        </w:rPr>
        <w:tab/>
        <w:t>ПРЕДСЕДАТЕЛЯ НА КОМИСИЯ</w:t>
      </w:r>
      <w:r w:rsidR="001038C8">
        <w:rPr>
          <w:b/>
          <w:sz w:val="24"/>
          <w:szCs w:val="24"/>
        </w:rPr>
        <w:t>ТА</w:t>
      </w:r>
      <w:r w:rsidRPr="00F3520E">
        <w:rPr>
          <w:b/>
          <w:sz w:val="24"/>
          <w:szCs w:val="24"/>
        </w:rPr>
        <w:t xml:space="preserve"> ЗА</w:t>
      </w:r>
    </w:p>
    <w:p w:rsidR="00F80490" w:rsidRPr="00F3520E" w:rsidRDefault="00F80490" w:rsidP="00F80490">
      <w:pPr>
        <w:rPr>
          <w:b/>
          <w:sz w:val="24"/>
          <w:szCs w:val="24"/>
        </w:rPr>
      </w:pPr>
      <w:r w:rsidRPr="00F3520E">
        <w:rPr>
          <w:b/>
          <w:sz w:val="24"/>
          <w:szCs w:val="24"/>
        </w:rPr>
        <w:tab/>
      </w:r>
      <w:r w:rsidRPr="00F3520E">
        <w:rPr>
          <w:b/>
          <w:sz w:val="24"/>
          <w:szCs w:val="24"/>
        </w:rPr>
        <w:tab/>
      </w:r>
      <w:r w:rsidRPr="00F3520E">
        <w:rPr>
          <w:b/>
          <w:sz w:val="24"/>
          <w:szCs w:val="24"/>
        </w:rPr>
        <w:tab/>
        <w:t>ЕНЕРГИЙНО И ВОДНО РЕГУЛИРАНЕ</w:t>
      </w:r>
    </w:p>
    <w:p w:rsidR="00F80490" w:rsidRDefault="00F80490" w:rsidP="00F80490">
      <w:pPr>
        <w:rPr>
          <w:b/>
        </w:rPr>
      </w:pPr>
    </w:p>
    <w:p w:rsidR="00F80490" w:rsidRDefault="00F80490" w:rsidP="00F80490">
      <w:pPr>
        <w:rPr>
          <w:b/>
        </w:rPr>
      </w:pPr>
    </w:p>
    <w:p w:rsidR="00F80490" w:rsidRPr="00F3520E" w:rsidRDefault="00F80490" w:rsidP="00F80490">
      <w:pPr>
        <w:rPr>
          <w:b/>
          <w:sz w:val="32"/>
          <w:szCs w:val="32"/>
        </w:rPr>
      </w:pPr>
      <w:r>
        <w:rPr>
          <w:b/>
        </w:rPr>
        <w:tab/>
      </w:r>
      <w:r>
        <w:rPr>
          <w:b/>
        </w:rPr>
        <w:tab/>
      </w:r>
      <w:r>
        <w:rPr>
          <w:b/>
        </w:rPr>
        <w:tab/>
      </w:r>
      <w:r w:rsidRPr="00F3520E">
        <w:rPr>
          <w:b/>
          <w:sz w:val="32"/>
          <w:szCs w:val="32"/>
        </w:rPr>
        <w:t>О Б О С Н О В К А</w:t>
      </w:r>
    </w:p>
    <w:p w:rsidR="00F80490" w:rsidRDefault="00F80490" w:rsidP="00F80490">
      <w:pPr>
        <w:rPr>
          <w:b/>
          <w:sz w:val="28"/>
          <w:szCs w:val="28"/>
        </w:rPr>
      </w:pPr>
    </w:p>
    <w:p w:rsidR="00F80490" w:rsidRDefault="00F80490" w:rsidP="007D1A8E">
      <w:pPr>
        <w:ind w:left="2177" w:hanging="763"/>
        <w:jc w:val="both"/>
        <w:rPr>
          <w:sz w:val="28"/>
          <w:szCs w:val="28"/>
        </w:rPr>
      </w:pPr>
      <w:r>
        <w:rPr>
          <w:sz w:val="28"/>
          <w:szCs w:val="28"/>
        </w:rPr>
        <w:t>о</w:t>
      </w:r>
      <w:r w:rsidRPr="00B7048D">
        <w:rPr>
          <w:sz w:val="28"/>
          <w:szCs w:val="28"/>
        </w:rPr>
        <w:t>т</w:t>
      </w:r>
      <w:r>
        <w:rPr>
          <w:sz w:val="28"/>
          <w:szCs w:val="28"/>
        </w:rPr>
        <w:t xml:space="preserve">      „ВИДАХИМ” АД, със седалище и адрес на   управление</w:t>
      </w:r>
    </w:p>
    <w:p w:rsidR="00F80490" w:rsidRDefault="00F80490" w:rsidP="007D1A8E">
      <w:pPr>
        <w:ind w:left="2177" w:hanging="763"/>
        <w:jc w:val="both"/>
        <w:rPr>
          <w:sz w:val="28"/>
          <w:szCs w:val="28"/>
        </w:rPr>
      </w:pPr>
      <w:r>
        <w:rPr>
          <w:sz w:val="28"/>
          <w:szCs w:val="28"/>
        </w:rPr>
        <w:tab/>
        <w:t>гр.Видин, Южна промишлена зона, регистрирано по ф.д.№6/1998г. на Видинския окръжен съд, представлявано от</w:t>
      </w:r>
    </w:p>
    <w:p w:rsidR="00F80490" w:rsidRDefault="00037C9A" w:rsidP="007D1A8E">
      <w:pPr>
        <w:ind w:left="2177"/>
        <w:jc w:val="both"/>
        <w:rPr>
          <w:sz w:val="28"/>
          <w:szCs w:val="28"/>
        </w:rPr>
      </w:pPr>
      <w:r>
        <w:rPr>
          <w:sz w:val="28"/>
          <w:szCs w:val="28"/>
        </w:rPr>
        <w:t xml:space="preserve">Цветомир Лещарски </w:t>
      </w:r>
      <w:r w:rsidR="00F80490">
        <w:rPr>
          <w:sz w:val="28"/>
          <w:szCs w:val="28"/>
        </w:rPr>
        <w:t>– Изпълнителен директор и</w:t>
      </w:r>
    </w:p>
    <w:p w:rsidR="00F80490" w:rsidRDefault="00037C9A" w:rsidP="007D1A8E">
      <w:pPr>
        <w:ind w:left="2177"/>
        <w:jc w:val="both"/>
        <w:rPr>
          <w:sz w:val="28"/>
          <w:szCs w:val="28"/>
          <w:lang w:val="en-US"/>
        </w:rPr>
      </w:pPr>
      <w:r>
        <w:rPr>
          <w:sz w:val="28"/>
          <w:szCs w:val="28"/>
        </w:rPr>
        <w:t>Ченко Ченков</w:t>
      </w:r>
      <w:r w:rsidR="00F80490">
        <w:rPr>
          <w:sz w:val="28"/>
          <w:szCs w:val="28"/>
        </w:rPr>
        <w:t xml:space="preserve"> – Изпълнителен Директор</w:t>
      </w:r>
    </w:p>
    <w:p w:rsidR="00F80490" w:rsidRDefault="00F80490" w:rsidP="007D1A8E">
      <w:pPr>
        <w:ind w:left="2177"/>
        <w:jc w:val="both"/>
        <w:rPr>
          <w:sz w:val="28"/>
          <w:szCs w:val="28"/>
        </w:rPr>
      </w:pPr>
      <w:r>
        <w:rPr>
          <w:sz w:val="28"/>
          <w:szCs w:val="28"/>
        </w:rPr>
        <w:t>притежаващо лицензия №  Л-116-03/27.11.2002г. за     производство на електрическа и топлинна енергия</w:t>
      </w:r>
    </w:p>
    <w:p w:rsidR="00F80490" w:rsidRDefault="00F80490" w:rsidP="00F80490">
      <w:pPr>
        <w:ind w:left="2180"/>
        <w:jc w:val="both"/>
        <w:rPr>
          <w:sz w:val="28"/>
          <w:szCs w:val="28"/>
        </w:rPr>
      </w:pPr>
    </w:p>
    <w:p w:rsidR="00F80490" w:rsidRPr="003733F3" w:rsidRDefault="00F80490" w:rsidP="00F80490">
      <w:pPr>
        <w:ind w:left="2127" w:hanging="763"/>
        <w:jc w:val="both"/>
        <w:rPr>
          <w:sz w:val="28"/>
          <w:szCs w:val="28"/>
        </w:rPr>
      </w:pPr>
      <w:r>
        <w:rPr>
          <w:sz w:val="28"/>
          <w:szCs w:val="28"/>
        </w:rPr>
        <w:t>към  Заявление за утвърждаване на цена на електрическата енергия, произвеждана от високоефективно комбинирано производство и на еднокомпонентна цена на топлинна енергия с топлоносител водна пара.</w:t>
      </w:r>
    </w:p>
    <w:p w:rsidR="00F80490" w:rsidRDefault="00F80490" w:rsidP="00F80490">
      <w:pPr>
        <w:jc w:val="center"/>
        <w:rPr>
          <w:b/>
          <w:sz w:val="28"/>
          <w:szCs w:val="28"/>
        </w:rPr>
      </w:pPr>
    </w:p>
    <w:p w:rsidR="00F80490" w:rsidRDefault="00F80490" w:rsidP="007D1A8E">
      <w:pPr>
        <w:ind w:firstLine="426"/>
        <w:rPr>
          <w:b/>
          <w:sz w:val="28"/>
          <w:szCs w:val="28"/>
        </w:rPr>
      </w:pPr>
      <w:r>
        <w:rPr>
          <w:b/>
          <w:sz w:val="28"/>
          <w:szCs w:val="28"/>
        </w:rPr>
        <w:t>УВАЖАЕМИ ГОСПОДИН ПРЕДСЕДАТЕЛ,</w:t>
      </w:r>
    </w:p>
    <w:p w:rsidR="003C4477" w:rsidRDefault="00070DAE" w:rsidP="007D1A8E">
      <w:pPr>
        <w:spacing w:after="0"/>
        <w:ind w:firstLine="426"/>
        <w:jc w:val="both"/>
        <w:rPr>
          <w:sz w:val="24"/>
          <w:szCs w:val="24"/>
        </w:rPr>
      </w:pPr>
      <w:r>
        <w:rPr>
          <w:sz w:val="24"/>
          <w:szCs w:val="24"/>
        </w:rPr>
        <w:t>Предложението</w:t>
      </w:r>
      <w:r w:rsidR="003C4477">
        <w:rPr>
          <w:sz w:val="24"/>
          <w:szCs w:val="24"/>
        </w:rPr>
        <w:t xml:space="preserve"> за цени з</w:t>
      </w:r>
      <w:r w:rsidR="00871AAC">
        <w:rPr>
          <w:sz w:val="24"/>
          <w:szCs w:val="24"/>
        </w:rPr>
        <w:t>а новия регулаторен период 01.0</w:t>
      </w:r>
      <w:r w:rsidR="00871AAC">
        <w:rPr>
          <w:sz w:val="24"/>
          <w:szCs w:val="24"/>
          <w:lang w:val="en-US"/>
        </w:rPr>
        <w:t>7</w:t>
      </w:r>
      <w:r w:rsidR="003C4477">
        <w:rPr>
          <w:sz w:val="24"/>
          <w:szCs w:val="24"/>
        </w:rPr>
        <w:t>.2</w:t>
      </w:r>
      <w:r w:rsidR="007D1A8E">
        <w:rPr>
          <w:sz w:val="24"/>
          <w:szCs w:val="24"/>
        </w:rPr>
        <w:t>01</w:t>
      </w:r>
      <w:r w:rsidR="00C14265">
        <w:rPr>
          <w:sz w:val="24"/>
          <w:szCs w:val="24"/>
        </w:rPr>
        <w:t xml:space="preserve">7 </w:t>
      </w:r>
      <w:r w:rsidR="007D1A8E">
        <w:rPr>
          <w:sz w:val="24"/>
          <w:szCs w:val="24"/>
        </w:rPr>
        <w:t>-</w:t>
      </w:r>
      <w:r w:rsidR="00C14265">
        <w:rPr>
          <w:sz w:val="24"/>
          <w:szCs w:val="24"/>
        </w:rPr>
        <w:t xml:space="preserve"> </w:t>
      </w:r>
      <w:r w:rsidR="007D1A8E">
        <w:rPr>
          <w:sz w:val="24"/>
          <w:szCs w:val="24"/>
        </w:rPr>
        <w:t>30.0</w:t>
      </w:r>
      <w:r w:rsidR="00C14265">
        <w:rPr>
          <w:sz w:val="24"/>
          <w:szCs w:val="24"/>
        </w:rPr>
        <w:t>6</w:t>
      </w:r>
      <w:r w:rsidR="007D1A8E">
        <w:rPr>
          <w:sz w:val="24"/>
          <w:szCs w:val="24"/>
        </w:rPr>
        <w:t>.201</w:t>
      </w:r>
      <w:r w:rsidR="00C14265">
        <w:rPr>
          <w:sz w:val="24"/>
          <w:szCs w:val="24"/>
        </w:rPr>
        <w:t>8</w:t>
      </w:r>
      <w:r w:rsidR="007D1A8E">
        <w:rPr>
          <w:sz w:val="24"/>
          <w:szCs w:val="24"/>
        </w:rPr>
        <w:t xml:space="preserve"> г. на Видахим АД </w:t>
      </w:r>
      <w:r w:rsidR="003C4477">
        <w:rPr>
          <w:sz w:val="24"/>
          <w:szCs w:val="24"/>
        </w:rPr>
        <w:t xml:space="preserve"> е разработено при спазване на изискванията на Наредба № 5 от 23 януари 2014 г. за  регулиране на </w:t>
      </w:r>
      <w:r w:rsidR="00DB289E">
        <w:rPr>
          <w:sz w:val="24"/>
          <w:szCs w:val="24"/>
        </w:rPr>
        <w:t>цените на топлинната енергия и</w:t>
      </w:r>
      <w:r w:rsidR="003C4477">
        <w:rPr>
          <w:sz w:val="24"/>
          <w:szCs w:val="24"/>
        </w:rPr>
        <w:t xml:space="preserve"> Наредба № 1 </w:t>
      </w:r>
      <w:r w:rsidR="007D1A8E">
        <w:rPr>
          <w:sz w:val="24"/>
          <w:szCs w:val="24"/>
        </w:rPr>
        <w:t>от 18.03.2013</w:t>
      </w:r>
      <w:r w:rsidR="003C4477" w:rsidRPr="003C4477">
        <w:rPr>
          <w:sz w:val="24"/>
          <w:szCs w:val="24"/>
        </w:rPr>
        <w:t>г.</w:t>
      </w:r>
      <w:r w:rsidR="003C4477">
        <w:rPr>
          <w:sz w:val="24"/>
          <w:szCs w:val="24"/>
        </w:rPr>
        <w:t xml:space="preserve"> </w:t>
      </w:r>
      <w:r w:rsidR="003C4477" w:rsidRPr="003C4477">
        <w:rPr>
          <w:sz w:val="24"/>
          <w:szCs w:val="24"/>
        </w:rPr>
        <w:t>за регулиране</w:t>
      </w:r>
      <w:r w:rsidR="003C4477">
        <w:rPr>
          <w:sz w:val="24"/>
          <w:szCs w:val="24"/>
        </w:rPr>
        <w:t xml:space="preserve"> </w:t>
      </w:r>
      <w:r w:rsidR="003C4477" w:rsidRPr="003C4477">
        <w:rPr>
          <w:sz w:val="24"/>
          <w:szCs w:val="24"/>
        </w:rPr>
        <w:t>на цените на електрическата енергия.</w:t>
      </w:r>
      <w:r w:rsidR="00DA7187">
        <w:rPr>
          <w:sz w:val="24"/>
          <w:szCs w:val="24"/>
        </w:rPr>
        <w:t xml:space="preserve"> Спазени са и стриктно Указанията</w:t>
      </w:r>
      <w:r w:rsidR="00DA7187" w:rsidRPr="00DA7187">
        <w:t xml:space="preserve"> </w:t>
      </w:r>
      <w:r w:rsidR="00DA7187" w:rsidRPr="00DA7187">
        <w:rPr>
          <w:sz w:val="24"/>
          <w:szCs w:val="24"/>
        </w:rPr>
        <w:t>за образуване на цените на топлинната енергия и на електрическата енергия от</w:t>
      </w:r>
      <w:r>
        <w:rPr>
          <w:sz w:val="24"/>
          <w:szCs w:val="24"/>
        </w:rPr>
        <w:t xml:space="preserve"> </w:t>
      </w:r>
      <w:r w:rsidR="00DA7187" w:rsidRPr="00DA7187">
        <w:rPr>
          <w:sz w:val="24"/>
          <w:szCs w:val="24"/>
        </w:rPr>
        <w:t>комбинирано производст</w:t>
      </w:r>
      <w:r w:rsidR="006C2543">
        <w:rPr>
          <w:sz w:val="24"/>
          <w:szCs w:val="24"/>
        </w:rPr>
        <w:t>во при регулиране чрез метода „Н</w:t>
      </w:r>
      <w:r w:rsidR="00DA7187" w:rsidRPr="00DA7187">
        <w:rPr>
          <w:sz w:val="24"/>
          <w:szCs w:val="24"/>
        </w:rPr>
        <w:t xml:space="preserve">орма на възвръщаемост на </w:t>
      </w:r>
      <w:r w:rsidR="00DA7187" w:rsidRPr="00DA7187">
        <w:rPr>
          <w:sz w:val="24"/>
          <w:szCs w:val="24"/>
        </w:rPr>
        <w:lastRenderedPageBreak/>
        <w:t>капитала”</w:t>
      </w:r>
      <w:r w:rsidR="006C2543">
        <w:rPr>
          <w:sz w:val="24"/>
          <w:szCs w:val="24"/>
        </w:rPr>
        <w:t>,</w:t>
      </w:r>
      <w:r w:rsidR="00DA7187">
        <w:rPr>
          <w:sz w:val="24"/>
          <w:szCs w:val="24"/>
        </w:rPr>
        <w:t xml:space="preserve"> приети от Комисията </w:t>
      </w:r>
      <w:r w:rsidR="00DA7187" w:rsidRPr="00DA7187">
        <w:rPr>
          <w:sz w:val="24"/>
          <w:szCs w:val="24"/>
        </w:rPr>
        <w:t>с протоколно Решение</w:t>
      </w:r>
      <w:r w:rsidR="00DA7187">
        <w:rPr>
          <w:sz w:val="24"/>
          <w:szCs w:val="24"/>
        </w:rPr>
        <w:t xml:space="preserve"> </w:t>
      </w:r>
      <w:r w:rsidR="006C2543">
        <w:rPr>
          <w:sz w:val="24"/>
          <w:szCs w:val="24"/>
        </w:rPr>
        <w:t>№ 95</w:t>
      </w:r>
      <w:r w:rsidR="00DA7187" w:rsidRPr="00DA7187">
        <w:rPr>
          <w:sz w:val="24"/>
          <w:szCs w:val="24"/>
        </w:rPr>
        <w:t xml:space="preserve"> от </w:t>
      </w:r>
      <w:r w:rsidR="006C2543">
        <w:rPr>
          <w:sz w:val="24"/>
          <w:szCs w:val="24"/>
          <w:lang w:val="en-GB"/>
        </w:rPr>
        <w:t>25</w:t>
      </w:r>
      <w:r w:rsidR="00DA7187" w:rsidRPr="00DA7187">
        <w:rPr>
          <w:sz w:val="24"/>
          <w:szCs w:val="24"/>
        </w:rPr>
        <w:t>.0</w:t>
      </w:r>
      <w:r w:rsidR="006C2543">
        <w:rPr>
          <w:sz w:val="24"/>
          <w:szCs w:val="24"/>
          <w:lang w:val="en-GB"/>
        </w:rPr>
        <w:t>5</w:t>
      </w:r>
      <w:r w:rsidR="00DA7187" w:rsidRPr="00DA7187">
        <w:rPr>
          <w:sz w:val="24"/>
          <w:szCs w:val="24"/>
        </w:rPr>
        <w:t>.201</w:t>
      </w:r>
      <w:r w:rsidR="006C2543">
        <w:rPr>
          <w:sz w:val="24"/>
          <w:szCs w:val="24"/>
          <w:lang w:val="en-GB"/>
        </w:rPr>
        <w:t>5</w:t>
      </w:r>
      <w:r w:rsidR="00DA7187" w:rsidRPr="00DA7187">
        <w:rPr>
          <w:sz w:val="24"/>
          <w:szCs w:val="24"/>
        </w:rPr>
        <w:t xml:space="preserve"> г. по т. </w:t>
      </w:r>
      <w:r w:rsidR="006C2543">
        <w:rPr>
          <w:sz w:val="24"/>
          <w:szCs w:val="24"/>
          <w:lang w:val="en-GB"/>
        </w:rPr>
        <w:t>8</w:t>
      </w:r>
      <w:r w:rsidR="006C2543">
        <w:rPr>
          <w:sz w:val="24"/>
          <w:szCs w:val="24"/>
        </w:rPr>
        <w:t xml:space="preserve"> на </w:t>
      </w:r>
      <w:r w:rsidR="00DA7187" w:rsidRPr="00DA7187">
        <w:rPr>
          <w:sz w:val="24"/>
          <w:szCs w:val="24"/>
        </w:rPr>
        <w:t>КЕВР.</w:t>
      </w:r>
      <w:r w:rsidR="00ED6E85">
        <w:rPr>
          <w:sz w:val="24"/>
          <w:szCs w:val="24"/>
        </w:rPr>
        <w:t xml:space="preserve"> </w:t>
      </w:r>
    </w:p>
    <w:p w:rsidR="00C14265" w:rsidRDefault="00ED6E85" w:rsidP="007D1A8E">
      <w:pPr>
        <w:spacing w:after="0"/>
        <w:ind w:firstLine="567"/>
        <w:jc w:val="both"/>
        <w:rPr>
          <w:sz w:val="24"/>
          <w:szCs w:val="24"/>
        </w:rPr>
      </w:pPr>
      <w:r>
        <w:rPr>
          <w:sz w:val="24"/>
          <w:szCs w:val="24"/>
        </w:rPr>
        <w:t xml:space="preserve">Изготвеното предложение е съобразено и с направените промени в </w:t>
      </w:r>
      <w:r w:rsidR="00C14265">
        <w:rPr>
          <w:sz w:val="24"/>
          <w:szCs w:val="24"/>
        </w:rPr>
        <w:t xml:space="preserve">чл. 30, ал. 4 на </w:t>
      </w:r>
      <w:r>
        <w:rPr>
          <w:sz w:val="24"/>
          <w:szCs w:val="24"/>
        </w:rPr>
        <w:t>Закона за енергетиката</w:t>
      </w:r>
      <w:r w:rsidR="00C14265">
        <w:rPr>
          <w:sz w:val="24"/>
          <w:szCs w:val="24"/>
        </w:rPr>
        <w:t xml:space="preserve"> </w:t>
      </w:r>
      <w:r w:rsidR="00C14265" w:rsidRPr="00C14265">
        <w:rPr>
          <w:sz w:val="24"/>
          <w:szCs w:val="24"/>
        </w:rPr>
        <w:t>(</w:t>
      </w:r>
      <w:r w:rsidR="00C14265">
        <w:rPr>
          <w:sz w:val="24"/>
          <w:szCs w:val="24"/>
        </w:rPr>
        <w:t>ДВ</w:t>
      </w:r>
      <w:r w:rsidR="00C14265" w:rsidRPr="00C14265">
        <w:rPr>
          <w:sz w:val="24"/>
          <w:szCs w:val="24"/>
        </w:rPr>
        <w:t>, бр. 47 от 2016 г.)</w:t>
      </w:r>
      <w:r>
        <w:rPr>
          <w:sz w:val="24"/>
          <w:szCs w:val="24"/>
        </w:rPr>
        <w:t xml:space="preserve">, </w:t>
      </w:r>
      <w:r w:rsidR="00C14265">
        <w:rPr>
          <w:sz w:val="24"/>
          <w:szCs w:val="24"/>
        </w:rPr>
        <w:t>по отношение на подлежащите на регулиране цени на електрическата енергия, произ</w:t>
      </w:r>
      <w:r w:rsidR="00DB289E">
        <w:rPr>
          <w:sz w:val="24"/>
          <w:szCs w:val="24"/>
        </w:rPr>
        <w:t>ведена от високо</w:t>
      </w:r>
      <w:r w:rsidR="00C14265">
        <w:rPr>
          <w:sz w:val="24"/>
          <w:szCs w:val="24"/>
        </w:rPr>
        <w:t>ефективно комбинирано производство, а именно:</w:t>
      </w:r>
    </w:p>
    <w:p w:rsidR="00C14265" w:rsidRPr="005B6CB4" w:rsidRDefault="00C14265" w:rsidP="00C14265">
      <w:pPr>
        <w:spacing w:after="0"/>
        <w:ind w:firstLine="567"/>
        <w:jc w:val="both"/>
        <w:rPr>
          <w:i/>
          <w:sz w:val="24"/>
          <w:szCs w:val="24"/>
        </w:rPr>
      </w:pPr>
      <w:r w:rsidRPr="005B6CB4">
        <w:rPr>
          <w:i/>
          <w:sz w:val="24"/>
          <w:szCs w:val="24"/>
        </w:rPr>
        <w:t>„ ...Комисията не регулира цените за продажба на топлинна енергия и не определя цени по чл. 33, ал. 1 на производители, които съгласно одитираните годишни финансови отчети за някоя от предходните три календарни години имат общи годишни приходи над 5 000 000 лв. и приходите им от продажба на електрическа енергия от комбинирано производство на топлинна и електрическа енергия надвишават 35 на сто от общите им годишни приходи, освен ако тези производители осъществяват пренос и снабдяване с топлинна енергия на битови клиенти или използват произведената топлинна енергия за производство на растителна земеделска продукция.“</w:t>
      </w:r>
    </w:p>
    <w:p w:rsidR="005B6CB4" w:rsidRDefault="005B6CB4" w:rsidP="007D1A8E">
      <w:pPr>
        <w:spacing w:after="0"/>
        <w:ind w:firstLine="567"/>
        <w:jc w:val="both"/>
        <w:rPr>
          <w:sz w:val="24"/>
          <w:szCs w:val="24"/>
        </w:rPr>
      </w:pPr>
    </w:p>
    <w:p w:rsidR="00261DC2" w:rsidRPr="003844F1" w:rsidRDefault="00C14265" w:rsidP="007D1A8E">
      <w:pPr>
        <w:spacing w:after="0"/>
        <w:ind w:firstLine="567"/>
        <w:jc w:val="both"/>
        <w:rPr>
          <w:b/>
          <w:sz w:val="24"/>
          <w:szCs w:val="24"/>
          <w:u w:val="single"/>
        </w:rPr>
      </w:pPr>
      <w:r w:rsidRPr="003844F1">
        <w:rPr>
          <w:b/>
          <w:sz w:val="24"/>
          <w:szCs w:val="24"/>
          <w:u w:val="single"/>
        </w:rPr>
        <w:t xml:space="preserve">„Видахим“ АД е регистриран земеделски производител и притежава Регистрационна карта, издадена от Областна Дирекция „Земеделие“ – гр. Видин от 23.02.2017 год. Дружеството притежава изграден оранжериен комплекс </w:t>
      </w:r>
      <w:r w:rsidR="00604E53" w:rsidRPr="003844F1">
        <w:rPr>
          <w:b/>
          <w:sz w:val="24"/>
          <w:szCs w:val="24"/>
          <w:u w:val="single"/>
        </w:rPr>
        <w:t xml:space="preserve">в близост до ТЕЦ Видин през 2014 г., който развива успешно производствена и търговска дейност в периода 2014-2015 г., </w:t>
      </w:r>
      <w:r w:rsidR="009C704A">
        <w:rPr>
          <w:b/>
          <w:sz w:val="24"/>
          <w:szCs w:val="24"/>
          <w:u w:val="single"/>
        </w:rPr>
        <w:t>преди сп</w:t>
      </w:r>
      <w:r w:rsidR="00604E53" w:rsidRPr="003844F1">
        <w:rPr>
          <w:b/>
          <w:sz w:val="24"/>
          <w:szCs w:val="24"/>
          <w:u w:val="single"/>
        </w:rPr>
        <w:t>иране работата на централата</w:t>
      </w:r>
      <w:r w:rsidR="00261DC2" w:rsidRPr="003844F1">
        <w:rPr>
          <w:b/>
          <w:sz w:val="24"/>
          <w:szCs w:val="24"/>
          <w:u w:val="single"/>
        </w:rPr>
        <w:t xml:space="preserve"> и подаването на топлинна енергия към оранжерията. </w:t>
      </w:r>
    </w:p>
    <w:p w:rsidR="00261DC2" w:rsidRDefault="00261DC2" w:rsidP="007D1A8E">
      <w:pPr>
        <w:spacing w:after="0"/>
        <w:ind w:firstLine="567"/>
        <w:jc w:val="both"/>
        <w:rPr>
          <w:sz w:val="24"/>
          <w:szCs w:val="24"/>
        </w:rPr>
      </w:pPr>
      <w:r w:rsidRPr="00261DC2">
        <w:rPr>
          <w:sz w:val="24"/>
          <w:szCs w:val="24"/>
        </w:rPr>
        <w:t>Обработваемата площ предопределя възможността за рационално управление на оранжерийния комплекс. Той има изградена система за капково напояване и система за използване на топлинната енергия от намиращата се в непосредствена близост ТЕЦ. Това от своя страна е предпоставка за гарантирано осигуряване на необходимия температурен режим и целогодишно функциониране на оранжерийния комплекс, с цел постигане на по-висока рентабилност.</w:t>
      </w:r>
    </w:p>
    <w:p w:rsidR="00261DC2" w:rsidRPr="00261DC2" w:rsidRDefault="00261DC2" w:rsidP="00261DC2">
      <w:pPr>
        <w:spacing w:after="0"/>
        <w:ind w:firstLine="567"/>
        <w:jc w:val="both"/>
        <w:rPr>
          <w:sz w:val="24"/>
          <w:szCs w:val="24"/>
        </w:rPr>
      </w:pPr>
      <w:r w:rsidRPr="00261DC2">
        <w:rPr>
          <w:sz w:val="24"/>
          <w:szCs w:val="24"/>
        </w:rPr>
        <w:t xml:space="preserve">Необходимите предпоставки за развитието на </w:t>
      </w:r>
      <w:r>
        <w:rPr>
          <w:sz w:val="24"/>
          <w:szCs w:val="24"/>
        </w:rPr>
        <w:t xml:space="preserve">ефективна </w:t>
      </w:r>
      <w:r w:rsidRPr="00261DC2">
        <w:rPr>
          <w:sz w:val="24"/>
          <w:szCs w:val="24"/>
        </w:rPr>
        <w:t>оранжерийна дейност</w:t>
      </w:r>
      <w:r>
        <w:rPr>
          <w:sz w:val="24"/>
          <w:szCs w:val="24"/>
        </w:rPr>
        <w:t xml:space="preserve">, при използване на топлинната енергия от ТЕЦ Видин към датата на подаване на заявлението </w:t>
      </w:r>
      <w:r w:rsidRPr="00261DC2">
        <w:rPr>
          <w:sz w:val="24"/>
          <w:szCs w:val="24"/>
        </w:rPr>
        <w:t>са налице:</w:t>
      </w:r>
    </w:p>
    <w:p w:rsidR="00261DC2" w:rsidRPr="00261DC2" w:rsidRDefault="00261DC2" w:rsidP="00261DC2">
      <w:pPr>
        <w:spacing w:after="0"/>
        <w:ind w:firstLine="567"/>
        <w:jc w:val="both"/>
        <w:rPr>
          <w:sz w:val="24"/>
          <w:szCs w:val="24"/>
        </w:rPr>
      </w:pPr>
      <w:r w:rsidRPr="00261DC2">
        <w:rPr>
          <w:sz w:val="24"/>
          <w:szCs w:val="24"/>
        </w:rPr>
        <w:t>•</w:t>
      </w:r>
      <w:r w:rsidRPr="00261DC2">
        <w:rPr>
          <w:sz w:val="24"/>
          <w:szCs w:val="24"/>
        </w:rPr>
        <w:tab/>
      </w:r>
      <w:r>
        <w:rPr>
          <w:sz w:val="24"/>
          <w:szCs w:val="24"/>
        </w:rPr>
        <w:t xml:space="preserve"> </w:t>
      </w:r>
      <w:r w:rsidRPr="00261DC2">
        <w:rPr>
          <w:sz w:val="24"/>
          <w:szCs w:val="24"/>
        </w:rPr>
        <w:t>Оранжерийният комплекс е изграден;</w:t>
      </w:r>
    </w:p>
    <w:p w:rsidR="00261DC2" w:rsidRPr="00261DC2" w:rsidRDefault="00261DC2" w:rsidP="00261DC2">
      <w:pPr>
        <w:spacing w:after="0"/>
        <w:ind w:firstLine="567"/>
        <w:jc w:val="both"/>
        <w:rPr>
          <w:sz w:val="24"/>
          <w:szCs w:val="24"/>
        </w:rPr>
      </w:pPr>
      <w:r w:rsidRPr="00261DC2">
        <w:rPr>
          <w:sz w:val="24"/>
          <w:szCs w:val="24"/>
        </w:rPr>
        <w:t>•</w:t>
      </w:r>
      <w:r w:rsidRPr="00261DC2">
        <w:rPr>
          <w:sz w:val="24"/>
          <w:szCs w:val="24"/>
        </w:rPr>
        <w:tab/>
      </w:r>
      <w:r>
        <w:rPr>
          <w:sz w:val="24"/>
          <w:szCs w:val="24"/>
        </w:rPr>
        <w:t xml:space="preserve"> </w:t>
      </w:r>
      <w:r w:rsidRPr="00261DC2">
        <w:rPr>
          <w:sz w:val="24"/>
          <w:szCs w:val="24"/>
        </w:rPr>
        <w:t>В наличност са всички съоръжения и инсталации, които са годни за експлоатация;</w:t>
      </w:r>
    </w:p>
    <w:p w:rsidR="00261DC2" w:rsidRDefault="00261DC2" w:rsidP="00261DC2">
      <w:pPr>
        <w:spacing w:after="0"/>
        <w:ind w:firstLine="567"/>
        <w:jc w:val="both"/>
        <w:rPr>
          <w:sz w:val="24"/>
          <w:szCs w:val="24"/>
        </w:rPr>
      </w:pPr>
      <w:r w:rsidRPr="00261DC2">
        <w:rPr>
          <w:sz w:val="24"/>
          <w:szCs w:val="24"/>
        </w:rPr>
        <w:t>•</w:t>
      </w:r>
      <w:r w:rsidRPr="00261DC2">
        <w:rPr>
          <w:sz w:val="24"/>
          <w:szCs w:val="24"/>
        </w:rPr>
        <w:tab/>
      </w:r>
      <w:r>
        <w:rPr>
          <w:sz w:val="24"/>
          <w:szCs w:val="24"/>
        </w:rPr>
        <w:t xml:space="preserve"> </w:t>
      </w:r>
      <w:r w:rsidRPr="00261DC2">
        <w:rPr>
          <w:sz w:val="24"/>
          <w:szCs w:val="24"/>
        </w:rPr>
        <w:t>Изградена е и необходимата прилежаща инфраструктура.</w:t>
      </w:r>
    </w:p>
    <w:p w:rsidR="009706AE" w:rsidRDefault="009706AE" w:rsidP="00261DC2">
      <w:pPr>
        <w:spacing w:after="0"/>
        <w:ind w:firstLine="567"/>
        <w:jc w:val="both"/>
        <w:rPr>
          <w:sz w:val="24"/>
          <w:szCs w:val="24"/>
        </w:rPr>
      </w:pPr>
    </w:p>
    <w:p w:rsidR="00261DC2" w:rsidRDefault="00261DC2" w:rsidP="00261DC2">
      <w:pPr>
        <w:spacing w:after="0"/>
        <w:ind w:firstLine="567"/>
        <w:jc w:val="both"/>
        <w:rPr>
          <w:sz w:val="24"/>
          <w:szCs w:val="24"/>
        </w:rPr>
      </w:pPr>
      <w:r>
        <w:rPr>
          <w:sz w:val="24"/>
          <w:szCs w:val="24"/>
        </w:rPr>
        <w:t xml:space="preserve">Видахим АД планира поетапно разширяване на тази дейност в следващите няколко години, </w:t>
      </w:r>
      <w:r w:rsidR="00C105DC">
        <w:rPr>
          <w:sz w:val="24"/>
          <w:szCs w:val="24"/>
        </w:rPr>
        <w:t>в зависимост от темпа на нарастване приходите от продажба на земеделска продукция.</w:t>
      </w:r>
      <w:r w:rsidR="009706AE">
        <w:rPr>
          <w:sz w:val="24"/>
          <w:szCs w:val="24"/>
        </w:rPr>
        <w:t xml:space="preserve"> Оранжерийният комплекс ще бъде използван за производството на няколко вида </w:t>
      </w:r>
      <w:r w:rsidR="00F23E76">
        <w:rPr>
          <w:sz w:val="24"/>
          <w:szCs w:val="24"/>
        </w:rPr>
        <w:t>к</w:t>
      </w:r>
      <w:r w:rsidR="009C704A">
        <w:rPr>
          <w:sz w:val="24"/>
          <w:szCs w:val="24"/>
        </w:rPr>
        <w:t>ултури, като в периода от октомври</w:t>
      </w:r>
      <w:r w:rsidR="00F23E76">
        <w:rPr>
          <w:sz w:val="24"/>
          <w:szCs w:val="24"/>
        </w:rPr>
        <w:t xml:space="preserve"> на текущата година до месец май на следващата година, топлинната енергия </w:t>
      </w:r>
      <w:r w:rsidR="00DB289E">
        <w:rPr>
          <w:sz w:val="24"/>
          <w:szCs w:val="24"/>
        </w:rPr>
        <w:t>ще бъде използвана за отопление. В</w:t>
      </w:r>
      <w:r w:rsidR="00F23E76">
        <w:rPr>
          <w:sz w:val="24"/>
          <w:szCs w:val="24"/>
        </w:rPr>
        <w:t xml:space="preserve"> пролетно летния сезон се предвижда използване на топлинната </w:t>
      </w:r>
      <w:r w:rsidR="00F23E76">
        <w:rPr>
          <w:sz w:val="24"/>
          <w:szCs w:val="24"/>
        </w:rPr>
        <w:lastRenderedPageBreak/>
        <w:t>енергия за т.нар. соларизация, която има за цел да поддържа високо качество на почвата за получаване на висок добив земеделска продукция при минимално използване на промишлени препарати за борба с вредителите. По този начин ще се гарантира високо качество на произвежданата продукция,</w:t>
      </w:r>
      <w:r w:rsidR="008246D7">
        <w:rPr>
          <w:sz w:val="24"/>
          <w:szCs w:val="24"/>
        </w:rPr>
        <w:t xml:space="preserve"> което от своя страна ще рефлектрира върху приходите от продажби.</w:t>
      </w:r>
    </w:p>
    <w:p w:rsidR="00C105DC" w:rsidRDefault="00C105DC" w:rsidP="00261DC2">
      <w:pPr>
        <w:spacing w:after="0"/>
        <w:ind w:firstLine="567"/>
        <w:jc w:val="both"/>
        <w:rPr>
          <w:sz w:val="24"/>
          <w:szCs w:val="24"/>
        </w:rPr>
      </w:pPr>
      <w:r w:rsidRPr="00C105DC">
        <w:rPr>
          <w:sz w:val="24"/>
          <w:szCs w:val="24"/>
        </w:rPr>
        <w:t xml:space="preserve">Според </w:t>
      </w:r>
      <w:r>
        <w:rPr>
          <w:sz w:val="24"/>
          <w:szCs w:val="24"/>
        </w:rPr>
        <w:t xml:space="preserve">направените </w:t>
      </w:r>
      <w:r w:rsidRPr="00C105DC">
        <w:rPr>
          <w:sz w:val="24"/>
          <w:szCs w:val="24"/>
        </w:rPr>
        <w:t xml:space="preserve">проучвания на пазара в региона на </w:t>
      </w:r>
      <w:r>
        <w:rPr>
          <w:sz w:val="24"/>
          <w:szCs w:val="24"/>
        </w:rPr>
        <w:t xml:space="preserve">населените места в Северозападен район - гр. Видин, Враца и Монтана </w:t>
      </w:r>
      <w:r w:rsidRPr="00C105DC">
        <w:rPr>
          <w:sz w:val="24"/>
          <w:szCs w:val="24"/>
        </w:rPr>
        <w:t>съществува голямо търсене на традиционни български зеленчуци, отгледани в екологична среда. Предлагането, обаче на такива продукти е слабо, което дава възможност на „Видахим“ АД да запълни създалата се пазарна ниша. Основните пазари, на които ще се разпространява готовата продукция са регионалните и местните общински пазари, а също така и на зеленчуковите борси.</w:t>
      </w:r>
    </w:p>
    <w:p w:rsidR="008246D7" w:rsidRPr="008246D7" w:rsidRDefault="008246D7" w:rsidP="008246D7">
      <w:pPr>
        <w:spacing w:after="0"/>
        <w:ind w:firstLine="567"/>
        <w:jc w:val="both"/>
        <w:rPr>
          <w:sz w:val="24"/>
          <w:szCs w:val="24"/>
        </w:rPr>
      </w:pPr>
      <w:r w:rsidRPr="008246D7">
        <w:rPr>
          <w:sz w:val="24"/>
          <w:szCs w:val="24"/>
        </w:rPr>
        <w:t>С оглед на дейността до момента и нуждите на пазара в комплекса ще се отглеждат:</w:t>
      </w:r>
    </w:p>
    <w:p w:rsidR="008246D7" w:rsidRDefault="008246D7" w:rsidP="008246D7">
      <w:pPr>
        <w:numPr>
          <w:ilvl w:val="0"/>
          <w:numId w:val="12"/>
        </w:numPr>
        <w:spacing w:after="0"/>
        <w:jc w:val="both"/>
        <w:rPr>
          <w:sz w:val="24"/>
          <w:szCs w:val="24"/>
        </w:rPr>
      </w:pPr>
      <w:r w:rsidRPr="008246D7">
        <w:rPr>
          <w:sz w:val="24"/>
          <w:szCs w:val="24"/>
        </w:rPr>
        <w:t>Ранни сортове домати, краставици, салати, лук, чесън, пипер, пресни подправки,</w:t>
      </w:r>
      <w:r>
        <w:rPr>
          <w:sz w:val="24"/>
          <w:szCs w:val="24"/>
        </w:rPr>
        <w:t xml:space="preserve"> </w:t>
      </w:r>
      <w:r w:rsidRPr="008246D7">
        <w:rPr>
          <w:sz w:val="24"/>
          <w:szCs w:val="24"/>
        </w:rPr>
        <w:t>разсад.</w:t>
      </w:r>
    </w:p>
    <w:p w:rsidR="008246D7" w:rsidRPr="008246D7" w:rsidRDefault="008246D7" w:rsidP="008246D7">
      <w:pPr>
        <w:spacing w:after="0"/>
        <w:ind w:left="720"/>
        <w:jc w:val="both"/>
        <w:rPr>
          <w:sz w:val="24"/>
          <w:szCs w:val="24"/>
        </w:rPr>
      </w:pPr>
    </w:p>
    <w:tbl>
      <w:tblPr>
        <w:tblStyle w:val="TableGrid"/>
        <w:tblW w:w="0" w:type="auto"/>
        <w:tblLook w:val="04A0" w:firstRow="1" w:lastRow="0" w:firstColumn="1" w:lastColumn="0" w:noHBand="0" w:noVBand="1"/>
      </w:tblPr>
      <w:tblGrid>
        <w:gridCol w:w="1842"/>
        <w:gridCol w:w="1842"/>
        <w:gridCol w:w="1842"/>
        <w:gridCol w:w="1843"/>
        <w:gridCol w:w="1843"/>
      </w:tblGrid>
      <w:tr w:rsidR="008246D7" w:rsidRPr="008246D7" w:rsidTr="00C156C0">
        <w:trPr>
          <w:trHeight w:val="1046"/>
        </w:trPr>
        <w:tc>
          <w:tcPr>
            <w:tcW w:w="1842" w:type="dxa"/>
          </w:tcPr>
          <w:p w:rsidR="008246D7" w:rsidRPr="008246D7" w:rsidRDefault="008246D7" w:rsidP="008246D7">
            <w:pPr>
              <w:spacing w:line="259" w:lineRule="auto"/>
              <w:rPr>
                <w:sz w:val="20"/>
                <w:szCs w:val="20"/>
              </w:rPr>
            </w:pPr>
            <w:r w:rsidRPr="008246D7">
              <w:rPr>
                <w:sz w:val="20"/>
                <w:szCs w:val="20"/>
              </w:rPr>
              <w:t>Зеленчуко-</w:t>
            </w:r>
          </w:p>
          <w:p w:rsidR="008246D7" w:rsidRPr="008246D7" w:rsidRDefault="008246D7" w:rsidP="008246D7">
            <w:pPr>
              <w:spacing w:line="259" w:lineRule="auto"/>
              <w:jc w:val="both"/>
              <w:rPr>
                <w:sz w:val="20"/>
                <w:szCs w:val="20"/>
              </w:rPr>
            </w:pPr>
            <w:r w:rsidRPr="008246D7">
              <w:rPr>
                <w:sz w:val="20"/>
                <w:szCs w:val="20"/>
              </w:rPr>
              <w:t>производство</w:t>
            </w:r>
          </w:p>
        </w:tc>
        <w:tc>
          <w:tcPr>
            <w:tcW w:w="1842" w:type="dxa"/>
          </w:tcPr>
          <w:p w:rsidR="008246D7" w:rsidRPr="008246D7" w:rsidRDefault="008246D7" w:rsidP="008246D7">
            <w:pPr>
              <w:spacing w:line="259" w:lineRule="auto"/>
              <w:rPr>
                <w:sz w:val="20"/>
                <w:szCs w:val="20"/>
              </w:rPr>
            </w:pPr>
            <w:r w:rsidRPr="008246D7">
              <w:rPr>
                <w:bCs/>
                <w:sz w:val="20"/>
                <w:szCs w:val="20"/>
                <w:lang w:val="ru-RU"/>
              </w:rPr>
              <w:t>Потенциални клиенти в сегмент Висока цена- високо качество</w:t>
            </w:r>
          </w:p>
        </w:tc>
        <w:tc>
          <w:tcPr>
            <w:tcW w:w="1842" w:type="dxa"/>
          </w:tcPr>
          <w:p w:rsidR="008246D7" w:rsidRPr="008246D7" w:rsidRDefault="008246D7" w:rsidP="008246D7">
            <w:pPr>
              <w:spacing w:line="259" w:lineRule="auto"/>
              <w:rPr>
                <w:sz w:val="20"/>
                <w:szCs w:val="20"/>
              </w:rPr>
            </w:pPr>
            <w:r w:rsidRPr="008246D7">
              <w:rPr>
                <w:bCs/>
                <w:sz w:val="20"/>
                <w:szCs w:val="20"/>
                <w:lang w:val="ru-RU"/>
              </w:rPr>
              <w:t>Потенциални клиенти  в сегмент Средна цена – средно качество</w:t>
            </w:r>
          </w:p>
        </w:tc>
        <w:tc>
          <w:tcPr>
            <w:tcW w:w="1843" w:type="dxa"/>
          </w:tcPr>
          <w:p w:rsidR="008246D7" w:rsidRPr="008246D7" w:rsidRDefault="008246D7" w:rsidP="008246D7">
            <w:pPr>
              <w:spacing w:line="259" w:lineRule="auto"/>
              <w:jc w:val="both"/>
              <w:rPr>
                <w:sz w:val="20"/>
                <w:szCs w:val="20"/>
              </w:rPr>
            </w:pPr>
            <w:r w:rsidRPr="008246D7">
              <w:rPr>
                <w:bCs/>
                <w:sz w:val="20"/>
                <w:szCs w:val="20"/>
                <w:lang w:val="ru-RU"/>
              </w:rPr>
              <w:t>Потенциални клиенти в сегмент Ниска цена – ниско качество</w:t>
            </w:r>
          </w:p>
        </w:tc>
        <w:tc>
          <w:tcPr>
            <w:tcW w:w="1843" w:type="dxa"/>
          </w:tcPr>
          <w:p w:rsidR="008246D7" w:rsidRPr="008246D7" w:rsidRDefault="008246D7" w:rsidP="008246D7">
            <w:pPr>
              <w:spacing w:line="259" w:lineRule="auto"/>
              <w:jc w:val="both"/>
              <w:rPr>
                <w:sz w:val="20"/>
                <w:szCs w:val="20"/>
              </w:rPr>
            </w:pPr>
            <w:r>
              <w:rPr>
                <w:sz w:val="20"/>
                <w:szCs w:val="20"/>
              </w:rPr>
              <w:t>Очаквани приходи от продажби/</w:t>
            </w:r>
            <w:r w:rsidRPr="008246D7">
              <w:rPr>
                <w:sz w:val="20"/>
                <w:szCs w:val="20"/>
              </w:rPr>
              <w:t>л</w:t>
            </w:r>
            <w:r>
              <w:rPr>
                <w:sz w:val="20"/>
                <w:szCs w:val="20"/>
              </w:rPr>
              <w:t>е</w:t>
            </w:r>
            <w:r w:rsidRPr="008246D7">
              <w:rPr>
                <w:sz w:val="20"/>
                <w:szCs w:val="20"/>
              </w:rPr>
              <w:t>в</w:t>
            </w:r>
            <w:r>
              <w:rPr>
                <w:sz w:val="20"/>
                <w:szCs w:val="20"/>
              </w:rPr>
              <w:t>а</w:t>
            </w:r>
          </w:p>
        </w:tc>
      </w:tr>
      <w:tr w:rsidR="008246D7" w:rsidRPr="008246D7" w:rsidTr="00C156C0">
        <w:tc>
          <w:tcPr>
            <w:tcW w:w="1842" w:type="dxa"/>
          </w:tcPr>
          <w:p w:rsidR="008246D7" w:rsidRPr="008246D7" w:rsidRDefault="008246D7" w:rsidP="008246D7">
            <w:pPr>
              <w:spacing w:line="259" w:lineRule="auto"/>
              <w:jc w:val="both"/>
              <w:rPr>
                <w:sz w:val="20"/>
                <w:szCs w:val="20"/>
              </w:rPr>
            </w:pPr>
            <w:r w:rsidRPr="008246D7">
              <w:rPr>
                <w:sz w:val="20"/>
                <w:szCs w:val="20"/>
              </w:rPr>
              <w:t>Домати</w:t>
            </w:r>
          </w:p>
        </w:tc>
        <w:tc>
          <w:tcPr>
            <w:tcW w:w="1842" w:type="dxa"/>
            <w:vMerge w:val="restart"/>
          </w:tcPr>
          <w:p w:rsidR="008246D7" w:rsidRPr="008246D7" w:rsidRDefault="008246D7" w:rsidP="008246D7">
            <w:pPr>
              <w:spacing w:line="259" w:lineRule="auto"/>
              <w:jc w:val="both"/>
              <w:rPr>
                <w:sz w:val="20"/>
                <w:szCs w:val="20"/>
              </w:rPr>
            </w:pPr>
            <w:r w:rsidRPr="008246D7">
              <w:rPr>
                <w:sz w:val="20"/>
                <w:szCs w:val="20"/>
              </w:rPr>
              <w:t>Ресторанти;</w:t>
            </w:r>
          </w:p>
          <w:p w:rsidR="008246D7" w:rsidRPr="008246D7" w:rsidRDefault="008246D7" w:rsidP="00CB3139">
            <w:pPr>
              <w:spacing w:line="259" w:lineRule="auto"/>
              <w:rPr>
                <w:sz w:val="20"/>
                <w:szCs w:val="20"/>
              </w:rPr>
            </w:pPr>
            <w:r w:rsidRPr="008246D7">
              <w:rPr>
                <w:sz w:val="20"/>
                <w:szCs w:val="20"/>
              </w:rPr>
              <w:t>Заведения за бързо хранене;</w:t>
            </w:r>
          </w:p>
          <w:p w:rsidR="008246D7" w:rsidRPr="008246D7" w:rsidRDefault="008246D7" w:rsidP="008246D7">
            <w:pPr>
              <w:spacing w:line="259" w:lineRule="auto"/>
              <w:jc w:val="both"/>
              <w:rPr>
                <w:sz w:val="20"/>
                <w:szCs w:val="20"/>
              </w:rPr>
            </w:pPr>
            <w:r w:rsidRPr="008246D7">
              <w:rPr>
                <w:sz w:val="20"/>
                <w:szCs w:val="20"/>
              </w:rPr>
              <w:t>Големи търговски вериги</w:t>
            </w:r>
          </w:p>
        </w:tc>
        <w:tc>
          <w:tcPr>
            <w:tcW w:w="1842" w:type="dxa"/>
            <w:vMerge w:val="restart"/>
          </w:tcPr>
          <w:p w:rsidR="008246D7" w:rsidRPr="008246D7" w:rsidRDefault="008246D7" w:rsidP="008246D7">
            <w:pPr>
              <w:spacing w:line="259" w:lineRule="auto"/>
              <w:rPr>
                <w:sz w:val="20"/>
                <w:szCs w:val="20"/>
              </w:rPr>
            </w:pPr>
            <w:r w:rsidRPr="008246D7">
              <w:rPr>
                <w:sz w:val="20"/>
                <w:szCs w:val="20"/>
              </w:rPr>
              <w:t>Регионални и местни пазари;</w:t>
            </w:r>
          </w:p>
          <w:p w:rsidR="008246D7" w:rsidRPr="008246D7" w:rsidRDefault="008246D7" w:rsidP="008246D7">
            <w:pPr>
              <w:spacing w:line="259" w:lineRule="auto"/>
              <w:jc w:val="both"/>
              <w:rPr>
                <w:sz w:val="20"/>
                <w:szCs w:val="20"/>
              </w:rPr>
            </w:pPr>
            <w:r w:rsidRPr="008246D7">
              <w:rPr>
                <w:sz w:val="20"/>
                <w:szCs w:val="20"/>
              </w:rPr>
              <w:t>Крайни потребители;</w:t>
            </w:r>
          </w:p>
          <w:p w:rsidR="008246D7" w:rsidRPr="008246D7" w:rsidRDefault="008246D7" w:rsidP="008246D7">
            <w:pPr>
              <w:spacing w:line="259" w:lineRule="auto"/>
              <w:rPr>
                <w:sz w:val="20"/>
                <w:szCs w:val="20"/>
              </w:rPr>
            </w:pPr>
            <w:r w:rsidRPr="008246D7">
              <w:rPr>
                <w:sz w:val="20"/>
                <w:szCs w:val="20"/>
              </w:rPr>
              <w:t>Клиенти със средни доходи</w:t>
            </w:r>
          </w:p>
        </w:tc>
        <w:tc>
          <w:tcPr>
            <w:tcW w:w="1843" w:type="dxa"/>
            <w:vMerge w:val="restart"/>
          </w:tcPr>
          <w:p w:rsidR="008246D7" w:rsidRPr="008246D7" w:rsidRDefault="008246D7" w:rsidP="008246D7">
            <w:pPr>
              <w:spacing w:line="259" w:lineRule="auto"/>
              <w:rPr>
                <w:sz w:val="20"/>
                <w:szCs w:val="20"/>
              </w:rPr>
            </w:pPr>
            <w:r w:rsidRPr="008246D7">
              <w:rPr>
                <w:sz w:val="20"/>
                <w:szCs w:val="20"/>
              </w:rPr>
              <w:t>Потребители занимаващи се с преработка на зеленчуци;</w:t>
            </w:r>
          </w:p>
          <w:p w:rsidR="008246D7" w:rsidRPr="008246D7" w:rsidRDefault="008246D7" w:rsidP="008246D7">
            <w:pPr>
              <w:spacing w:line="259" w:lineRule="auto"/>
              <w:jc w:val="both"/>
              <w:rPr>
                <w:sz w:val="20"/>
                <w:szCs w:val="20"/>
              </w:rPr>
            </w:pPr>
            <w:r w:rsidRPr="008246D7">
              <w:rPr>
                <w:sz w:val="20"/>
                <w:szCs w:val="20"/>
              </w:rPr>
              <w:t>Клиенти с ниски доходи</w:t>
            </w:r>
          </w:p>
        </w:tc>
        <w:tc>
          <w:tcPr>
            <w:tcW w:w="1843" w:type="dxa"/>
          </w:tcPr>
          <w:p w:rsidR="008246D7" w:rsidRPr="008246D7" w:rsidRDefault="008246D7" w:rsidP="008246D7">
            <w:pPr>
              <w:spacing w:line="259" w:lineRule="auto"/>
              <w:jc w:val="right"/>
              <w:rPr>
                <w:sz w:val="20"/>
                <w:szCs w:val="20"/>
              </w:rPr>
            </w:pPr>
            <w:r w:rsidRPr="008246D7">
              <w:rPr>
                <w:sz w:val="20"/>
                <w:szCs w:val="20"/>
              </w:rPr>
              <w:t>342 000</w:t>
            </w:r>
          </w:p>
        </w:tc>
      </w:tr>
      <w:tr w:rsidR="008246D7" w:rsidRPr="008246D7" w:rsidTr="00C156C0">
        <w:tc>
          <w:tcPr>
            <w:tcW w:w="1842" w:type="dxa"/>
          </w:tcPr>
          <w:p w:rsidR="008246D7" w:rsidRPr="008246D7" w:rsidRDefault="008246D7" w:rsidP="008246D7">
            <w:pPr>
              <w:spacing w:line="259" w:lineRule="auto"/>
              <w:jc w:val="both"/>
              <w:rPr>
                <w:sz w:val="20"/>
                <w:szCs w:val="20"/>
              </w:rPr>
            </w:pPr>
            <w:r w:rsidRPr="008246D7">
              <w:rPr>
                <w:sz w:val="20"/>
                <w:szCs w:val="20"/>
              </w:rPr>
              <w:t>Краставици</w:t>
            </w:r>
          </w:p>
        </w:tc>
        <w:tc>
          <w:tcPr>
            <w:tcW w:w="1842" w:type="dxa"/>
            <w:vMerge/>
          </w:tcPr>
          <w:p w:rsidR="008246D7" w:rsidRPr="008246D7" w:rsidRDefault="008246D7" w:rsidP="008246D7">
            <w:pPr>
              <w:spacing w:line="259" w:lineRule="auto"/>
              <w:ind w:firstLine="567"/>
              <w:jc w:val="both"/>
              <w:rPr>
                <w:sz w:val="20"/>
                <w:szCs w:val="20"/>
              </w:rPr>
            </w:pPr>
          </w:p>
        </w:tc>
        <w:tc>
          <w:tcPr>
            <w:tcW w:w="1842" w:type="dxa"/>
            <w:vMerge/>
          </w:tcPr>
          <w:p w:rsidR="008246D7" w:rsidRPr="008246D7" w:rsidRDefault="008246D7" w:rsidP="008246D7">
            <w:pPr>
              <w:spacing w:line="259" w:lineRule="auto"/>
              <w:ind w:firstLine="567"/>
              <w:jc w:val="both"/>
              <w:rPr>
                <w:sz w:val="20"/>
                <w:szCs w:val="20"/>
              </w:rPr>
            </w:pPr>
          </w:p>
        </w:tc>
        <w:tc>
          <w:tcPr>
            <w:tcW w:w="1843" w:type="dxa"/>
            <w:vMerge/>
          </w:tcPr>
          <w:p w:rsidR="008246D7" w:rsidRPr="008246D7" w:rsidRDefault="008246D7" w:rsidP="008246D7">
            <w:pPr>
              <w:spacing w:line="259" w:lineRule="auto"/>
              <w:ind w:firstLine="567"/>
              <w:jc w:val="both"/>
              <w:rPr>
                <w:sz w:val="20"/>
                <w:szCs w:val="20"/>
              </w:rPr>
            </w:pPr>
          </w:p>
        </w:tc>
        <w:tc>
          <w:tcPr>
            <w:tcW w:w="1843" w:type="dxa"/>
          </w:tcPr>
          <w:p w:rsidR="008246D7" w:rsidRPr="008246D7" w:rsidRDefault="008246D7" w:rsidP="008246D7">
            <w:pPr>
              <w:spacing w:line="259" w:lineRule="auto"/>
              <w:jc w:val="right"/>
              <w:rPr>
                <w:sz w:val="20"/>
                <w:szCs w:val="20"/>
              </w:rPr>
            </w:pPr>
            <w:r w:rsidRPr="008246D7">
              <w:rPr>
                <w:sz w:val="20"/>
                <w:szCs w:val="20"/>
              </w:rPr>
              <w:t>168 000</w:t>
            </w:r>
          </w:p>
        </w:tc>
      </w:tr>
      <w:tr w:rsidR="008246D7" w:rsidRPr="008246D7" w:rsidTr="00C156C0">
        <w:tc>
          <w:tcPr>
            <w:tcW w:w="1842" w:type="dxa"/>
          </w:tcPr>
          <w:p w:rsidR="008246D7" w:rsidRPr="008246D7" w:rsidRDefault="008246D7" w:rsidP="008246D7">
            <w:pPr>
              <w:spacing w:line="259" w:lineRule="auto"/>
              <w:jc w:val="both"/>
              <w:rPr>
                <w:sz w:val="20"/>
                <w:szCs w:val="20"/>
              </w:rPr>
            </w:pPr>
            <w:r w:rsidRPr="008246D7">
              <w:rPr>
                <w:sz w:val="20"/>
                <w:szCs w:val="20"/>
              </w:rPr>
              <w:t>Салати</w:t>
            </w:r>
          </w:p>
        </w:tc>
        <w:tc>
          <w:tcPr>
            <w:tcW w:w="1842" w:type="dxa"/>
            <w:vMerge/>
          </w:tcPr>
          <w:p w:rsidR="008246D7" w:rsidRPr="008246D7" w:rsidRDefault="008246D7" w:rsidP="008246D7">
            <w:pPr>
              <w:spacing w:line="259" w:lineRule="auto"/>
              <w:ind w:firstLine="567"/>
              <w:jc w:val="both"/>
              <w:rPr>
                <w:sz w:val="20"/>
                <w:szCs w:val="20"/>
              </w:rPr>
            </w:pPr>
          </w:p>
        </w:tc>
        <w:tc>
          <w:tcPr>
            <w:tcW w:w="1842" w:type="dxa"/>
            <w:vMerge/>
          </w:tcPr>
          <w:p w:rsidR="008246D7" w:rsidRPr="008246D7" w:rsidRDefault="008246D7" w:rsidP="008246D7">
            <w:pPr>
              <w:spacing w:line="259" w:lineRule="auto"/>
              <w:ind w:firstLine="567"/>
              <w:jc w:val="both"/>
              <w:rPr>
                <w:sz w:val="20"/>
                <w:szCs w:val="20"/>
              </w:rPr>
            </w:pPr>
          </w:p>
        </w:tc>
        <w:tc>
          <w:tcPr>
            <w:tcW w:w="1843" w:type="dxa"/>
            <w:vMerge/>
          </w:tcPr>
          <w:p w:rsidR="008246D7" w:rsidRPr="008246D7" w:rsidRDefault="008246D7" w:rsidP="008246D7">
            <w:pPr>
              <w:spacing w:line="259" w:lineRule="auto"/>
              <w:ind w:firstLine="567"/>
              <w:jc w:val="both"/>
              <w:rPr>
                <w:sz w:val="20"/>
                <w:szCs w:val="20"/>
              </w:rPr>
            </w:pPr>
          </w:p>
        </w:tc>
        <w:tc>
          <w:tcPr>
            <w:tcW w:w="1843" w:type="dxa"/>
          </w:tcPr>
          <w:p w:rsidR="008246D7" w:rsidRPr="008246D7" w:rsidRDefault="008246D7" w:rsidP="008246D7">
            <w:pPr>
              <w:spacing w:line="259" w:lineRule="auto"/>
              <w:jc w:val="right"/>
              <w:rPr>
                <w:sz w:val="20"/>
                <w:szCs w:val="20"/>
              </w:rPr>
            </w:pPr>
            <w:r w:rsidRPr="008246D7">
              <w:rPr>
                <w:sz w:val="20"/>
                <w:szCs w:val="20"/>
              </w:rPr>
              <w:t>45 000</w:t>
            </w:r>
          </w:p>
        </w:tc>
      </w:tr>
      <w:tr w:rsidR="008246D7" w:rsidRPr="008246D7" w:rsidTr="00C156C0">
        <w:tc>
          <w:tcPr>
            <w:tcW w:w="1842" w:type="dxa"/>
          </w:tcPr>
          <w:p w:rsidR="008246D7" w:rsidRPr="008246D7" w:rsidRDefault="008246D7" w:rsidP="008246D7">
            <w:pPr>
              <w:spacing w:line="259" w:lineRule="auto"/>
              <w:jc w:val="both"/>
              <w:rPr>
                <w:sz w:val="20"/>
                <w:szCs w:val="20"/>
              </w:rPr>
            </w:pPr>
            <w:r w:rsidRPr="008246D7">
              <w:rPr>
                <w:sz w:val="20"/>
                <w:szCs w:val="20"/>
              </w:rPr>
              <w:t>Лук</w:t>
            </w:r>
          </w:p>
        </w:tc>
        <w:tc>
          <w:tcPr>
            <w:tcW w:w="1842" w:type="dxa"/>
            <w:vMerge/>
          </w:tcPr>
          <w:p w:rsidR="008246D7" w:rsidRPr="008246D7" w:rsidRDefault="008246D7" w:rsidP="008246D7">
            <w:pPr>
              <w:spacing w:line="259" w:lineRule="auto"/>
              <w:ind w:firstLine="567"/>
              <w:jc w:val="both"/>
              <w:rPr>
                <w:sz w:val="20"/>
                <w:szCs w:val="20"/>
              </w:rPr>
            </w:pPr>
          </w:p>
        </w:tc>
        <w:tc>
          <w:tcPr>
            <w:tcW w:w="1842" w:type="dxa"/>
            <w:vMerge/>
          </w:tcPr>
          <w:p w:rsidR="008246D7" w:rsidRPr="008246D7" w:rsidRDefault="008246D7" w:rsidP="008246D7">
            <w:pPr>
              <w:spacing w:line="259" w:lineRule="auto"/>
              <w:ind w:firstLine="567"/>
              <w:jc w:val="both"/>
              <w:rPr>
                <w:sz w:val="20"/>
                <w:szCs w:val="20"/>
              </w:rPr>
            </w:pPr>
          </w:p>
        </w:tc>
        <w:tc>
          <w:tcPr>
            <w:tcW w:w="1843" w:type="dxa"/>
            <w:vMerge/>
          </w:tcPr>
          <w:p w:rsidR="008246D7" w:rsidRPr="008246D7" w:rsidRDefault="008246D7" w:rsidP="008246D7">
            <w:pPr>
              <w:spacing w:line="259" w:lineRule="auto"/>
              <w:ind w:firstLine="567"/>
              <w:jc w:val="both"/>
              <w:rPr>
                <w:sz w:val="20"/>
                <w:szCs w:val="20"/>
              </w:rPr>
            </w:pPr>
          </w:p>
        </w:tc>
        <w:tc>
          <w:tcPr>
            <w:tcW w:w="1843" w:type="dxa"/>
          </w:tcPr>
          <w:p w:rsidR="008246D7" w:rsidRPr="008246D7" w:rsidRDefault="008246D7" w:rsidP="008246D7">
            <w:pPr>
              <w:spacing w:line="259" w:lineRule="auto"/>
              <w:jc w:val="right"/>
              <w:rPr>
                <w:sz w:val="20"/>
                <w:szCs w:val="20"/>
              </w:rPr>
            </w:pPr>
            <w:r w:rsidRPr="008246D7">
              <w:rPr>
                <w:sz w:val="20"/>
                <w:szCs w:val="20"/>
              </w:rPr>
              <w:t>5 000</w:t>
            </w:r>
          </w:p>
        </w:tc>
      </w:tr>
      <w:tr w:rsidR="008246D7" w:rsidRPr="008246D7" w:rsidTr="00C156C0">
        <w:tc>
          <w:tcPr>
            <w:tcW w:w="1842" w:type="dxa"/>
          </w:tcPr>
          <w:p w:rsidR="008246D7" w:rsidRPr="008246D7" w:rsidRDefault="008246D7" w:rsidP="008246D7">
            <w:pPr>
              <w:spacing w:line="259" w:lineRule="auto"/>
              <w:jc w:val="both"/>
              <w:rPr>
                <w:sz w:val="20"/>
                <w:szCs w:val="20"/>
              </w:rPr>
            </w:pPr>
            <w:r w:rsidRPr="008246D7">
              <w:rPr>
                <w:sz w:val="20"/>
                <w:szCs w:val="20"/>
              </w:rPr>
              <w:t>Чесън</w:t>
            </w:r>
          </w:p>
        </w:tc>
        <w:tc>
          <w:tcPr>
            <w:tcW w:w="1842" w:type="dxa"/>
            <w:vMerge/>
          </w:tcPr>
          <w:p w:rsidR="008246D7" w:rsidRPr="008246D7" w:rsidRDefault="008246D7" w:rsidP="008246D7">
            <w:pPr>
              <w:spacing w:line="259" w:lineRule="auto"/>
              <w:ind w:firstLine="567"/>
              <w:jc w:val="both"/>
              <w:rPr>
                <w:sz w:val="20"/>
                <w:szCs w:val="20"/>
              </w:rPr>
            </w:pPr>
          </w:p>
        </w:tc>
        <w:tc>
          <w:tcPr>
            <w:tcW w:w="1842" w:type="dxa"/>
            <w:vMerge/>
          </w:tcPr>
          <w:p w:rsidR="008246D7" w:rsidRPr="008246D7" w:rsidRDefault="008246D7" w:rsidP="008246D7">
            <w:pPr>
              <w:spacing w:line="259" w:lineRule="auto"/>
              <w:ind w:firstLine="567"/>
              <w:jc w:val="both"/>
              <w:rPr>
                <w:sz w:val="20"/>
                <w:szCs w:val="20"/>
              </w:rPr>
            </w:pPr>
          </w:p>
        </w:tc>
        <w:tc>
          <w:tcPr>
            <w:tcW w:w="1843" w:type="dxa"/>
            <w:vMerge/>
          </w:tcPr>
          <w:p w:rsidR="008246D7" w:rsidRPr="008246D7" w:rsidRDefault="008246D7" w:rsidP="008246D7">
            <w:pPr>
              <w:spacing w:line="259" w:lineRule="auto"/>
              <w:ind w:firstLine="567"/>
              <w:jc w:val="both"/>
              <w:rPr>
                <w:sz w:val="20"/>
                <w:szCs w:val="20"/>
              </w:rPr>
            </w:pPr>
          </w:p>
        </w:tc>
        <w:tc>
          <w:tcPr>
            <w:tcW w:w="1843" w:type="dxa"/>
          </w:tcPr>
          <w:p w:rsidR="008246D7" w:rsidRPr="008246D7" w:rsidRDefault="008246D7" w:rsidP="008246D7">
            <w:pPr>
              <w:spacing w:line="259" w:lineRule="auto"/>
              <w:jc w:val="right"/>
              <w:rPr>
                <w:sz w:val="20"/>
                <w:szCs w:val="20"/>
              </w:rPr>
            </w:pPr>
            <w:r w:rsidRPr="008246D7">
              <w:rPr>
                <w:sz w:val="20"/>
                <w:szCs w:val="20"/>
              </w:rPr>
              <w:t>6 400</w:t>
            </w:r>
          </w:p>
        </w:tc>
      </w:tr>
      <w:tr w:rsidR="008246D7" w:rsidRPr="008246D7" w:rsidTr="00C156C0">
        <w:tc>
          <w:tcPr>
            <w:tcW w:w="1842" w:type="dxa"/>
          </w:tcPr>
          <w:p w:rsidR="008246D7" w:rsidRPr="008246D7" w:rsidRDefault="008246D7" w:rsidP="008246D7">
            <w:pPr>
              <w:spacing w:line="259" w:lineRule="auto"/>
              <w:jc w:val="both"/>
              <w:rPr>
                <w:sz w:val="20"/>
                <w:szCs w:val="20"/>
              </w:rPr>
            </w:pPr>
            <w:r w:rsidRPr="008246D7">
              <w:rPr>
                <w:sz w:val="20"/>
                <w:szCs w:val="20"/>
              </w:rPr>
              <w:t>Пипер</w:t>
            </w:r>
          </w:p>
        </w:tc>
        <w:tc>
          <w:tcPr>
            <w:tcW w:w="1842" w:type="dxa"/>
            <w:vMerge/>
          </w:tcPr>
          <w:p w:rsidR="008246D7" w:rsidRPr="008246D7" w:rsidRDefault="008246D7" w:rsidP="008246D7">
            <w:pPr>
              <w:spacing w:line="259" w:lineRule="auto"/>
              <w:ind w:firstLine="567"/>
              <w:jc w:val="both"/>
              <w:rPr>
                <w:sz w:val="20"/>
                <w:szCs w:val="20"/>
              </w:rPr>
            </w:pPr>
          </w:p>
        </w:tc>
        <w:tc>
          <w:tcPr>
            <w:tcW w:w="1842" w:type="dxa"/>
            <w:vMerge/>
          </w:tcPr>
          <w:p w:rsidR="008246D7" w:rsidRPr="008246D7" w:rsidRDefault="008246D7" w:rsidP="008246D7">
            <w:pPr>
              <w:spacing w:line="259" w:lineRule="auto"/>
              <w:ind w:firstLine="567"/>
              <w:jc w:val="both"/>
              <w:rPr>
                <w:sz w:val="20"/>
                <w:szCs w:val="20"/>
              </w:rPr>
            </w:pPr>
          </w:p>
        </w:tc>
        <w:tc>
          <w:tcPr>
            <w:tcW w:w="1843" w:type="dxa"/>
            <w:vMerge/>
          </w:tcPr>
          <w:p w:rsidR="008246D7" w:rsidRPr="008246D7" w:rsidRDefault="008246D7" w:rsidP="008246D7">
            <w:pPr>
              <w:spacing w:line="259" w:lineRule="auto"/>
              <w:ind w:firstLine="567"/>
              <w:jc w:val="both"/>
              <w:rPr>
                <w:sz w:val="20"/>
                <w:szCs w:val="20"/>
              </w:rPr>
            </w:pPr>
          </w:p>
        </w:tc>
        <w:tc>
          <w:tcPr>
            <w:tcW w:w="1843" w:type="dxa"/>
          </w:tcPr>
          <w:p w:rsidR="008246D7" w:rsidRPr="008246D7" w:rsidRDefault="008246D7" w:rsidP="008246D7">
            <w:pPr>
              <w:spacing w:line="259" w:lineRule="auto"/>
              <w:jc w:val="right"/>
              <w:rPr>
                <w:sz w:val="20"/>
                <w:szCs w:val="20"/>
              </w:rPr>
            </w:pPr>
            <w:r w:rsidRPr="008246D7">
              <w:rPr>
                <w:sz w:val="20"/>
                <w:szCs w:val="20"/>
              </w:rPr>
              <w:t>161</w:t>
            </w:r>
            <w:r>
              <w:rPr>
                <w:sz w:val="20"/>
                <w:szCs w:val="20"/>
              </w:rPr>
              <w:t xml:space="preserve"> </w:t>
            </w:r>
            <w:r w:rsidRPr="008246D7">
              <w:rPr>
                <w:sz w:val="20"/>
                <w:szCs w:val="20"/>
              </w:rPr>
              <w:t>000</w:t>
            </w:r>
          </w:p>
        </w:tc>
      </w:tr>
      <w:tr w:rsidR="008246D7" w:rsidRPr="008246D7" w:rsidTr="00C156C0">
        <w:tc>
          <w:tcPr>
            <w:tcW w:w="1842" w:type="dxa"/>
          </w:tcPr>
          <w:p w:rsidR="008246D7" w:rsidRPr="008246D7" w:rsidRDefault="008246D7" w:rsidP="008246D7">
            <w:pPr>
              <w:spacing w:line="259" w:lineRule="auto"/>
              <w:jc w:val="both"/>
              <w:rPr>
                <w:sz w:val="20"/>
                <w:szCs w:val="20"/>
              </w:rPr>
            </w:pPr>
            <w:r w:rsidRPr="008246D7">
              <w:rPr>
                <w:sz w:val="20"/>
                <w:szCs w:val="20"/>
              </w:rPr>
              <w:t>Пресни подправки</w:t>
            </w:r>
          </w:p>
        </w:tc>
        <w:tc>
          <w:tcPr>
            <w:tcW w:w="1842" w:type="dxa"/>
            <w:vMerge/>
          </w:tcPr>
          <w:p w:rsidR="008246D7" w:rsidRPr="008246D7" w:rsidRDefault="008246D7" w:rsidP="008246D7">
            <w:pPr>
              <w:spacing w:line="259" w:lineRule="auto"/>
              <w:ind w:firstLine="567"/>
              <w:jc w:val="both"/>
              <w:rPr>
                <w:sz w:val="20"/>
                <w:szCs w:val="20"/>
              </w:rPr>
            </w:pPr>
          </w:p>
        </w:tc>
        <w:tc>
          <w:tcPr>
            <w:tcW w:w="1842" w:type="dxa"/>
            <w:vMerge/>
          </w:tcPr>
          <w:p w:rsidR="008246D7" w:rsidRPr="008246D7" w:rsidRDefault="008246D7" w:rsidP="008246D7">
            <w:pPr>
              <w:spacing w:line="259" w:lineRule="auto"/>
              <w:ind w:firstLine="567"/>
              <w:jc w:val="both"/>
              <w:rPr>
                <w:sz w:val="20"/>
                <w:szCs w:val="20"/>
              </w:rPr>
            </w:pPr>
          </w:p>
        </w:tc>
        <w:tc>
          <w:tcPr>
            <w:tcW w:w="1843" w:type="dxa"/>
            <w:vMerge/>
          </w:tcPr>
          <w:p w:rsidR="008246D7" w:rsidRPr="008246D7" w:rsidRDefault="008246D7" w:rsidP="008246D7">
            <w:pPr>
              <w:spacing w:line="259" w:lineRule="auto"/>
              <w:ind w:firstLine="567"/>
              <w:jc w:val="both"/>
              <w:rPr>
                <w:sz w:val="20"/>
                <w:szCs w:val="20"/>
              </w:rPr>
            </w:pPr>
          </w:p>
        </w:tc>
        <w:tc>
          <w:tcPr>
            <w:tcW w:w="1843" w:type="dxa"/>
          </w:tcPr>
          <w:p w:rsidR="008246D7" w:rsidRPr="008246D7" w:rsidRDefault="008246D7" w:rsidP="008246D7">
            <w:pPr>
              <w:spacing w:line="259" w:lineRule="auto"/>
              <w:jc w:val="right"/>
              <w:rPr>
                <w:sz w:val="20"/>
                <w:szCs w:val="20"/>
              </w:rPr>
            </w:pPr>
            <w:r w:rsidRPr="008246D7">
              <w:rPr>
                <w:sz w:val="20"/>
                <w:szCs w:val="20"/>
              </w:rPr>
              <w:t>3 000</w:t>
            </w:r>
          </w:p>
        </w:tc>
      </w:tr>
      <w:tr w:rsidR="008246D7" w:rsidRPr="008246D7" w:rsidTr="00C156C0">
        <w:tc>
          <w:tcPr>
            <w:tcW w:w="1842" w:type="dxa"/>
          </w:tcPr>
          <w:p w:rsidR="008246D7" w:rsidRPr="008246D7" w:rsidRDefault="008246D7" w:rsidP="008246D7">
            <w:pPr>
              <w:spacing w:line="259" w:lineRule="auto"/>
              <w:jc w:val="both"/>
              <w:rPr>
                <w:sz w:val="20"/>
                <w:szCs w:val="20"/>
              </w:rPr>
            </w:pPr>
            <w:r w:rsidRPr="008246D7">
              <w:rPr>
                <w:sz w:val="20"/>
                <w:szCs w:val="20"/>
              </w:rPr>
              <w:t>Разсад</w:t>
            </w:r>
          </w:p>
        </w:tc>
        <w:tc>
          <w:tcPr>
            <w:tcW w:w="1842" w:type="dxa"/>
          </w:tcPr>
          <w:p w:rsidR="008246D7" w:rsidRPr="008246D7" w:rsidRDefault="008246D7" w:rsidP="008246D7">
            <w:pPr>
              <w:spacing w:line="259" w:lineRule="auto"/>
              <w:jc w:val="both"/>
              <w:rPr>
                <w:sz w:val="20"/>
                <w:szCs w:val="20"/>
              </w:rPr>
            </w:pPr>
            <w:r w:rsidRPr="008246D7">
              <w:rPr>
                <w:sz w:val="20"/>
                <w:szCs w:val="20"/>
              </w:rPr>
              <w:t>Търговци на едро и дребно</w:t>
            </w:r>
          </w:p>
        </w:tc>
        <w:tc>
          <w:tcPr>
            <w:tcW w:w="1842" w:type="dxa"/>
          </w:tcPr>
          <w:p w:rsidR="008246D7" w:rsidRPr="008246D7" w:rsidRDefault="008246D7" w:rsidP="008246D7">
            <w:pPr>
              <w:spacing w:line="259" w:lineRule="auto"/>
              <w:jc w:val="both"/>
              <w:rPr>
                <w:sz w:val="20"/>
                <w:szCs w:val="20"/>
              </w:rPr>
            </w:pPr>
            <w:r w:rsidRPr="008246D7">
              <w:rPr>
                <w:sz w:val="20"/>
                <w:szCs w:val="20"/>
              </w:rPr>
              <w:t>Търговци на едро и дребно</w:t>
            </w:r>
          </w:p>
        </w:tc>
        <w:tc>
          <w:tcPr>
            <w:tcW w:w="1843" w:type="dxa"/>
          </w:tcPr>
          <w:p w:rsidR="008246D7" w:rsidRPr="008246D7" w:rsidRDefault="008246D7" w:rsidP="008246D7">
            <w:pPr>
              <w:spacing w:line="259" w:lineRule="auto"/>
              <w:jc w:val="both"/>
              <w:rPr>
                <w:sz w:val="20"/>
                <w:szCs w:val="20"/>
              </w:rPr>
            </w:pPr>
            <w:r w:rsidRPr="008246D7">
              <w:rPr>
                <w:sz w:val="20"/>
                <w:szCs w:val="20"/>
              </w:rPr>
              <w:t>Търговци на едро и дребно</w:t>
            </w:r>
          </w:p>
        </w:tc>
        <w:tc>
          <w:tcPr>
            <w:tcW w:w="1843" w:type="dxa"/>
          </w:tcPr>
          <w:p w:rsidR="008246D7" w:rsidRPr="008246D7" w:rsidRDefault="008246D7" w:rsidP="008246D7">
            <w:pPr>
              <w:spacing w:line="259" w:lineRule="auto"/>
              <w:jc w:val="right"/>
              <w:rPr>
                <w:sz w:val="20"/>
                <w:szCs w:val="20"/>
              </w:rPr>
            </w:pPr>
            <w:r w:rsidRPr="008246D7">
              <w:rPr>
                <w:sz w:val="20"/>
                <w:szCs w:val="20"/>
              </w:rPr>
              <w:t>75 000</w:t>
            </w:r>
          </w:p>
        </w:tc>
      </w:tr>
    </w:tbl>
    <w:p w:rsidR="008246D7" w:rsidRDefault="008246D7" w:rsidP="008246D7">
      <w:pPr>
        <w:spacing w:after="0"/>
        <w:ind w:firstLine="567"/>
        <w:jc w:val="both"/>
        <w:rPr>
          <w:sz w:val="24"/>
          <w:szCs w:val="24"/>
        </w:rPr>
      </w:pPr>
    </w:p>
    <w:p w:rsidR="003844F1" w:rsidRPr="008246D7" w:rsidRDefault="005B6CB4" w:rsidP="003844F1">
      <w:pPr>
        <w:spacing w:after="0"/>
        <w:ind w:firstLine="567"/>
        <w:jc w:val="both"/>
        <w:rPr>
          <w:sz w:val="24"/>
          <w:szCs w:val="24"/>
        </w:rPr>
      </w:pPr>
      <w:r>
        <w:rPr>
          <w:sz w:val="24"/>
          <w:szCs w:val="24"/>
        </w:rPr>
        <w:t>През новия регулаторен период 01.07.2017-30.06.2018 г. е направен разчет на приходите и разходит</w:t>
      </w:r>
      <w:r w:rsidR="00DB289E">
        <w:rPr>
          <w:sz w:val="24"/>
          <w:szCs w:val="24"/>
        </w:rPr>
        <w:t>е за работата на оранжерийния ко</w:t>
      </w:r>
      <w:r>
        <w:rPr>
          <w:sz w:val="24"/>
          <w:szCs w:val="24"/>
        </w:rPr>
        <w:t xml:space="preserve">мплекс на </w:t>
      </w:r>
      <w:r w:rsidR="00DB289E">
        <w:rPr>
          <w:sz w:val="24"/>
          <w:szCs w:val="24"/>
        </w:rPr>
        <w:t>„</w:t>
      </w:r>
      <w:r>
        <w:rPr>
          <w:sz w:val="24"/>
          <w:szCs w:val="24"/>
        </w:rPr>
        <w:t>Видахим</w:t>
      </w:r>
      <w:r w:rsidR="00DB289E">
        <w:rPr>
          <w:sz w:val="24"/>
          <w:szCs w:val="24"/>
        </w:rPr>
        <w:t>“</w:t>
      </w:r>
      <w:r>
        <w:rPr>
          <w:sz w:val="24"/>
          <w:szCs w:val="24"/>
        </w:rPr>
        <w:t xml:space="preserve"> АД, както следва:</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2127"/>
      </w:tblGrid>
      <w:tr w:rsidR="00CB3139" w:rsidRPr="00CB3139" w:rsidTr="00DD2905">
        <w:tc>
          <w:tcPr>
            <w:tcW w:w="5778" w:type="dxa"/>
            <w:vMerge w:val="restart"/>
            <w:shd w:val="clear" w:color="auto" w:fill="auto"/>
            <w:vAlign w:val="center"/>
          </w:tcPr>
          <w:p w:rsidR="00CB3139" w:rsidRPr="00CB3139" w:rsidRDefault="00CB3139" w:rsidP="00CB3139">
            <w:pPr>
              <w:spacing w:after="0"/>
              <w:ind w:firstLine="567"/>
              <w:jc w:val="center"/>
              <w:rPr>
                <w:sz w:val="20"/>
                <w:szCs w:val="20"/>
              </w:rPr>
            </w:pPr>
            <w:r w:rsidRPr="00CB3139">
              <w:rPr>
                <w:sz w:val="20"/>
                <w:szCs w:val="20"/>
              </w:rPr>
              <w:t>Показатели</w:t>
            </w:r>
          </w:p>
        </w:tc>
        <w:tc>
          <w:tcPr>
            <w:tcW w:w="2127" w:type="dxa"/>
            <w:shd w:val="clear" w:color="auto" w:fill="auto"/>
          </w:tcPr>
          <w:p w:rsidR="00CB3139" w:rsidRPr="00CB3139" w:rsidRDefault="00CB3139" w:rsidP="00CB3139">
            <w:pPr>
              <w:spacing w:after="0"/>
              <w:ind w:firstLine="567"/>
              <w:jc w:val="both"/>
              <w:rPr>
                <w:sz w:val="20"/>
                <w:szCs w:val="20"/>
              </w:rPr>
            </w:pPr>
            <w:r w:rsidRPr="00CB3139">
              <w:rPr>
                <w:sz w:val="20"/>
                <w:szCs w:val="20"/>
              </w:rPr>
              <w:t>Приход (в лева)</w:t>
            </w:r>
          </w:p>
        </w:tc>
      </w:tr>
      <w:tr w:rsidR="00CB3139" w:rsidRPr="00CB3139" w:rsidTr="00DD2905">
        <w:tc>
          <w:tcPr>
            <w:tcW w:w="5778" w:type="dxa"/>
            <w:vMerge/>
            <w:shd w:val="clear" w:color="auto" w:fill="auto"/>
          </w:tcPr>
          <w:p w:rsidR="00CB3139" w:rsidRPr="00CB3139" w:rsidRDefault="00CB3139" w:rsidP="00CB3139">
            <w:pPr>
              <w:spacing w:after="0"/>
              <w:ind w:firstLine="567"/>
              <w:jc w:val="both"/>
              <w:rPr>
                <w:sz w:val="20"/>
                <w:szCs w:val="20"/>
              </w:rPr>
            </w:pPr>
          </w:p>
        </w:tc>
        <w:tc>
          <w:tcPr>
            <w:tcW w:w="2127" w:type="dxa"/>
            <w:shd w:val="clear" w:color="auto" w:fill="auto"/>
          </w:tcPr>
          <w:p w:rsidR="00CB3139" w:rsidRPr="00CB3139" w:rsidRDefault="00CB3139" w:rsidP="00CB3139">
            <w:pPr>
              <w:spacing w:after="0"/>
              <w:ind w:firstLine="567"/>
              <w:jc w:val="both"/>
              <w:rPr>
                <w:sz w:val="20"/>
                <w:szCs w:val="20"/>
              </w:rPr>
            </w:pPr>
            <w:r w:rsidRPr="00CB3139">
              <w:rPr>
                <w:sz w:val="20"/>
                <w:szCs w:val="20"/>
              </w:rPr>
              <w:t>2017-</w:t>
            </w:r>
            <w:r>
              <w:rPr>
                <w:sz w:val="20"/>
                <w:szCs w:val="20"/>
              </w:rPr>
              <w:t xml:space="preserve"> </w:t>
            </w:r>
            <w:r w:rsidRPr="00CB3139">
              <w:rPr>
                <w:sz w:val="20"/>
                <w:szCs w:val="20"/>
              </w:rPr>
              <w:t>2018</w:t>
            </w:r>
            <w:r>
              <w:rPr>
                <w:sz w:val="20"/>
                <w:szCs w:val="20"/>
              </w:rPr>
              <w:t xml:space="preserve"> г.</w:t>
            </w:r>
          </w:p>
        </w:tc>
      </w:tr>
      <w:tr w:rsidR="00CB3139" w:rsidRPr="00CB3139" w:rsidTr="00DD2905">
        <w:tc>
          <w:tcPr>
            <w:tcW w:w="5778" w:type="dxa"/>
            <w:shd w:val="clear" w:color="auto" w:fill="auto"/>
          </w:tcPr>
          <w:p w:rsidR="00CB3139" w:rsidRPr="00CB3139" w:rsidRDefault="00CB3139" w:rsidP="00CB3139">
            <w:pPr>
              <w:pStyle w:val="ListParagraph"/>
              <w:numPr>
                <w:ilvl w:val="0"/>
                <w:numId w:val="13"/>
              </w:numPr>
              <w:spacing w:after="0"/>
              <w:jc w:val="both"/>
              <w:rPr>
                <w:sz w:val="20"/>
                <w:szCs w:val="20"/>
              </w:rPr>
            </w:pPr>
            <w:r w:rsidRPr="00CB3139">
              <w:rPr>
                <w:sz w:val="20"/>
                <w:szCs w:val="20"/>
              </w:rPr>
              <w:t>Приходи от продажби (оборот)</w:t>
            </w:r>
          </w:p>
        </w:tc>
        <w:tc>
          <w:tcPr>
            <w:tcW w:w="2127" w:type="dxa"/>
            <w:shd w:val="clear" w:color="auto" w:fill="auto"/>
          </w:tcPr>
          <w:p w:rsidR="00CB3139" w:rsidRPr="00CB3139" w:rsidRDefault="00CB3139" w:rsidP="00CB3139">
            <w:pPr>
              <w:spacing w:after="0"/>
              <w:ind w:firstLine="567"/>
              <w:jc w:val="right"/>
              <w:rPr>
                <w:sz w:val="20"/>
                <w:szCs w:val="20"/>
              </w:rPr>
            </w:pPr>
            <w:r w:rsidRPr="00CB3139">
              <w:rPr>
                <w:sz w:val="20"/>
                <w:szCs w:val="20"/>
              </w:rPr>
              <w:t>805 400</w:t>
            </w:r>
          </w:p>
        </w:tc>
      </w:tr>
      <w:tr w:rsidR="00CB3139" w:rsidRPr="00CB3139" w:rsidTr="00DD2905">
        <w:tc>
          <w:tcPr>
            <w:tcW w:w="5778" w:type="dxa"/>
            <w:shd w:val="clear" w:color="auto" w:fill="auto"/>
          </w:tcPr>
          <w:p w:rsidR="00CB3139" w:rsidRPr="00CB3139" w:rsidRDefault="00CB3139" w:rsidP="00CB3139">
            <w:pPr>
              <w:pStyle w:val="ListParagraph"/>
              <w:numPr>
                <w:ilvl w:val="0"/>
                <w:numId w:val="13"/>
              </w:numPr>
              <w:spacing w:after="0"/>
              <w:jc w:val="both"/>
              <w:rPr>
                <w:sz w:val="20"/>
                <w:szCs w:val="20"/>
              </w:rPr>
            </w:pPr>
            <w:r w:rsidRPr="00CB3139">
              <w:rPr>
                <w:sz w:val="20"/>
                <w:szCs w:val="20"/>
              </w:rPr>
              <w:t>Разходи за продадената продукция</w:t>
            </w:r>
          </w:p>
        </w:tc>
        <w:tc>
          <w:tcPr>
            <w:tcW w:w="2127" w:type="dxa"/>
            <w:shd w:val="clear" w:color="auto" w:fill="auto"/>
          </w:tcPr>
          <w:p w:rsidR="00CB3139" w:rsidRPr="00CB3139" w:rsidRDefault="00CB3139" w:rsidP="00CB3139">
            <w:pPr>
              <w:spacing w:after="0"/>
              <w:ind w:firstLine="567"/>
              <w:jc w:val="right"/>
              <w:rPr>
                <w:sz w:val="20"/>
                <w:szCs w:val="20"/>
              </w:rPr>
            </w:pPr>
            <w:r w:rsidRPr="00CB3139">
              <w:rPr>
                <w:sz w:val="20"/>
                <w:szCs w:val="20"/>
              </w:rPr>
              <w:t>756 000</w:t>
            </w:r>
          </w:p>
        </w:tc>
      </w:tr>
      <w:tr w:rsidR="00CB3139" w:rsidRPr="00CB3139" w:rsidTr="00DD2905">
        <w:tc>
          <w:tcPr>
            <w:tcW w:w="5778" w:type="dxa"/>
            <w:shd w:val="clear" w:color="auto" w:fill="auto"/>
          </w:tcPr>
          <w:p w:rsidR="00CB3139" w:rsidRPr="00CB3139" w:rsidRDefault="00CB3139" w:rsidP="00CB3139">
            <w:pPr>
              <w:pStyle w:val="ListParagraph"/>
              <w:numPr>
                <w:ilvl w:val="0"/>
                <w:numId w:val="13"/>
              </w:numPr>
              <w:spacing w:after="0"/>
              <w:jc w:val="both"/>
              <w:rPr>
                <w:sz w:val="20"/>
                <w:szCs w:val="20"/>
              </w:rPr>
            </w:pPr>
            <w:r w:rsidRPr="00CB3139">
              <w:rPr>
                <w:sz w:val="20"/>
                <w:szCs w:val="20"/>
              </w:rPr>
              <w:t>Печалба преди данъци</w:t>
            </w:r>
          </w:p>
        </w:tc>
        <w:tc>
          <w:tcPr>
            <w:tcW w:w="2127" w:type="dxa"/>
            <w:shd w:val="clear" w:color="auto" w:fill="auto"/>
          </w:tcPr>
          <w:p w:rsidR="00CB3139" w:rsidRPr="00CB3139" w:rsidRDefault="00CB3139" w:rsidP="00CB3139">
            <w:pPr>
              <w:spacing w:after="0"/>
              <w:ind w:firstLine="567"/>
              <w:jc w:val="right"/>
              <w:rPr>
                <w:sz w:val="20"/>
                <w:szCs w:val="20"/>
              </w:rPr>
            </w:pPr>
            <w:r w:rsidRPr="00CB3139">
              <w:rPr>
                <w:sz w:val="20"/>
                <w:szCs w:val="20"/>
              </w:rPr>
              <w:t>49 400</w:t>
            </w:r>
          </w:p>
        </w:tc>
      </w:tr>
      <w:tr w:rsidR="00CB3139" w:rsidRPr="00CB3139" w:rsidTr="00DD2905">
        <w:tc>
          <w:tcPr>
            <w:tcW w:w="5778" w:type="dxa"/>
            <w:shd w:val="clear" w:color="auto" w:fill="auto"/>
          </w:tcPr>
          <w:p w:rsidR="00CB3139" w:rsidRPr="00CB3139" w:rsidRDefault="00CB3139" w:rsidP="00CB3139">
            <w:pPr>
              <w:pStyle w:val="ListParagraph"/>
              <w:numPr>
                <w:ilvl w:val="0"/>
                <w:numId w:val="13"/>
              </w:numPr>
              <w:spacing w:after="0"/>
              <w:jc w:val="both"/>
              <w:rPr>
                <w:sz w:val="20"/>
                <w:szCs w:val="20"/>
              </w:rPr>
            </w:pPr>
            <w:r w:rsidRPr="00CB3139">
              <w:rPr>
                <w:sz w:val="20"/>
                <w:szCs w:val="20"/>
              </w:rPr>
              <w:t>Амортизация</w:t>
            </w:r>
          </w:p>
        </w:tc>
        <w:tc>
          <w:tcPr>
            <w:tcW w:w="2127" w:type="dxa"/>
            <w:shd w:val="clear" w:color="auto" w:fill="auto"/>
          </w:tcPr>
          <w:p w:rsidR="00CB3139" w:rsidRPr="00CB3139" w:rsidRDefault="00CB3139" w:rsidP="00CB3139">
            <w:pPr>
              <w:spacing w:after="0"/>
              <w:ind w:firstLine="567"/>
              <w:jc w:val="right"/>
              <w:rPr>
                <w:sz w:val="20"/>
                <w:szCs w:val="20"/>
              </w:rPr>
            </w:pPr>
            <w:r w:rsidRPr="00CB3139">
              <w:rPr>
                <w:sz w:val="20"/>
                <w:szCs w:val="20"/>
              </w:rPr>
              <w:t>2 560</w:t>
            </w:r>
          </w:p>
        </w:tc>
      </w:tr>
      <w:tr w:rsidR="00CB3139" w:rsidRPr="00CB3139" w:rsidTr="00DD2905">
        <w:tc>
          <w:tcPr>
            <w:tcW w:w="5778" w:type="dxa"/>
            <w:shd w:val="clear" w:color="auto" w:fill="auto"/>
          </w:tcPr>
          <w:p w:rsidR="00CB3139" w:rsidRPr="00CB3139" w:rsidRDefault="00CB3139" w:rsidP="00CB3139">
            <w:pPr>
              <w:pStyle w:val="ListParagraph"/>
              <w:numPr>
                <w:ilvl w:val="0"/>
                <w:numId w:val="13"/>
              </w:numPr>
              <w:spacing w:after="0"/>
              <w:jc w:val="both"/>
              <w:rPr>
                <w:sz w:val="20"/>
                <w:szCs w:val="20"/>
              </w:rPr>
            </w:pPr>
            <w:r w:rsidRPr="00CB3139">
              <w:rPr>
                <w:sz w:val="20"/>
                <w:szCs w:val="20"/>
              </w:rPr>
              <w:t>Печалба преди данъци</w:t>
            </w:r>
          </w:p>
        </w:tc>
        <w:tc>
          <w:tcPr>
            <w:tcW w:w="2127" w:type="dxa"/>
            <w:shd w:val="clear" w:color="auto" w:fill="auto"/>
          </w:tcPr>
          <w:p w:rsidR="00CB3139" w:rsidRPr="00CB3139" w:rsidRDefault="00CB3139" w:rsidP="00CB3139">
            <w:pPr>
              <w:spacing w:after="0"/>
              <w:ind w:firstLine="567"/>
              <w:jc w:val="right"/>
              <w:rPr>
                <w:sz w:val="20"/>
                <w:szCs w:val="20"/>
              </w:rPr>
            </w:pPr>
            <w:r w:rsidRPr="00CB3139">
              <w:rPr>
                <w:sz w:val="20"/>
                <w:szCs w:val="20"/>
              </w:rPr>
              <w:t>46 840</w:t>
            </w:r>
          </w:p>
        </w:tc>
      </w:tr>
      <w:tr w:rsidR="00CB3139" w:rsidRPr="00CB3139" w:rsidTr="00DD2905">
        <w:tc>
          <w:tcPr>
            <w:tcW w:w="5778" w:type="dxa"/>
            <w:shd w:val="clear" w:color="auto" w:fill="auto"/>
          </w:tcPr>
          <w:p w:rsidR="00CB3139" w:rsidRPr="00CB3139" w:rsidRDefault="00CB3139" w:rsidP="00CB3139">
            <w:pPr>
              <w:pStyle w:val="ListParagraph"/>
              <w:numPr>
                <w:ilvl w:val="0"/>
                <w:numId w:val="13"/>
              </w:numPr>
              <w:spacing w:after="0"/>
              <w:jc w:val="both"/>
              <w:rPr>
                <w:sz w:val="20"/>
                <w:szCs w:val="20"/>
              </w:rPr>
            </w:pPr>
            <w:r w:rsidRPr="00CB3139">
              <w:rPr>
                <w:sz w:val="20"/>
                <w:szCs w:val="20"/>
              </w:rPr>
              <w:t>Данъци</w:t>
            </w:r>
          </w:p>
        </w:tc>
        <w:tc>
          <w:tcPr>
            <w:tcW w:w="2127" w:type="dxa"/>
            <w:shd w:val="clear" w:color="auto" w:fill="auto"/>
          </w:tcPr>
          <w:p w:rsidR="00CB3139" w:rsidRPr="00CB3139" w:rsidRDefault="00CB3139" w:rsidP="00CB3139">
            <w:pPr>
              <w:spacing w:after="0"/>
              <w:ind w:firstLine="567"/>
              <w:jc w:val="right"/>
              <w:rPr>
                <w:sz w:val="20"/>
                <w:szCs w:val="20"/>
              </w:rPr>
            </w:pPr>
            <w:r w:rsidRPr="00CB3139">
              <w:rPr>
                <w:sz w:val="20"/>
                <w:szCs w:val="20"/>
              </w:rPr>
              <w:t>1 170</w:t>
            </w:r>
          </w:p>
        </w:tc>
      </w:tr>
      <w:tr w:rsidR="00CB3139" w:rsidRPr="00CB3139" w:rsidTr="00DD2905">
        <w:tc>
          <w:tcPr>
            <w:tcW w:w="5778" w:type="dxa"/>
            <w:shd w:val="clear" w:color="auto" w:fill="auto"/>
          </w:tcPr>
          <w:p w:rsidR="00CB3139" w:rsidRPr="00CB3139" w:rsidRDefault="00CB3139" w:rsidP="00CB3139">
            <w:pPr>
              <w:pStyle w:val="ListParagraph"/>
              <w:numPr>
                <w:ilvl w:val="0"/>
                <w:numId w:val="13"/>
              </w:numPr>
              <w:spacing w:after="0"/>
              <w:jc w:val="both"/>
              <w:rPr>
                <w:sz w:val="20"/>
                <w:szCs w:val="20"/>
              </w:rPr>
            </w:pPr>
            <w:r w:rsidRPr="00CB3139">
              <w:rPr>
                <w:sz w:val="20"/>
                <w:szCs w:val="20"/>
              </w:rPr>
              <w:t>Печалба след данъци</w:t>
            </w:r>
            <w:r>
              <w:rPr>
                <w:sz w:val="20"/>
                <w:szCs w:val="20"/>
              </w:rPr>
              <w:t xml:space="preserve"> </w:t>
            </w:r>
            <w:r w:rsidRPr="00CB3139">
              <w:rPr>
                <w:sz w:val="20"/>
                <w:szCs w:val="20"/>
              </w:rPr>
              <w:t>(ПСД)</w:t>
            </w:r>
          </w:p>
        </w:tc>
        <w:tc>
          <w:tcPr>
            <w:tcW w:w="2127" w:type="dxa"/>
            <w:shd w:val="clear" w:color="auto" w:fill="auto"/>
          </w:tcPr>
          <w:p w:rsidR="00CB3139" w:rsidRPr="00CB3139" w:rsidRDefault="00CB3139" w:rsidP="00CB3139">
            <w:pPr>
              <w:spacing w:after="0"/>
              <w:ind w:firstLine="567"/>
              <w:jc w:val="right"/>
              <w:rPr>
                <w:sz w:val="20"/>
                <w:szCs w:val="20"/>
              </w:rPr>
            </w:pPr>
            <w:r w:rsidRPr="00CB3139">
              <w:rPr>
                <w:sz w:val="20"/>
                <w:szCs w:val="20"/>
              </w:rPr>
              <w:t>45 670</w:t>
            </w:r>
          </w:p>
        </w:tc>
      </w:tr>
      <w:tr w:rsidR="00CB3139" w:rsidRPr="00CB3139" w:rsidTr="00DD2905">
        <w:tc>
          <w:tcPr>
            <w:tcW w:w="5778" w:type="dxa"/>
            <w:shd w:val="clear" w:color="auto" w:fill="auto"/>
          </w:tcPr>
          <w:p w:rsidR="00CB3139" w:rsidRPr="00CB3139" w:rsidRDefault="00CB3139" w:rsidP="00CB3139">
            <w:pPr>
              <w:pStyle w:val="ListParagraph"/>
              <w:numPr>
                <w:ilvl w:val="0"/>
                <w:numId w:val="13"/>
              </w:numPr>
              <w:spacing w:after="0"/>
              <w:jc w:val="both"/>
              <w:rPr>
                <w:sz w:val="20"/>
                <w:szCs w:val="20"/>
              </w:rPr>
            </w:pPr>
            <w:r w:rsidRPr="00CB3139">
              <w:rPr>
                <w:sz w:val="20"/>
                <w:szCs w:val="20"/>
              </w:rPr>
              <w:t>Дивиденти</w:t>
            </w:r>
          </w:p>
        </w:tc>
        <w:tc>
          <w:tcPr>
            <w:tcW w:w="2127" w:type="dxa"/>
            <w:shd w:val="clear" w:color="auto" w:fill="auto"/>
          </w:tcPr>
          <w:p w:rsidR="00CB3139" w:rsidRPr="00CB3139" w:rsidRDefault="00CB3139" w:rsidP="00CB3139">
            <w:pPr>
              <w:spacing w:after="0"/>
              <w:ind w:firstLine="567"/>
              <w:jc w:val="right"/>
              <w:rPr>
                <w:sz w:val="20"/>
                <w:szCs w:val="20"/>
              </w:rPr>
            </w:pPr>
            <w:r w:rsidRPr="00CB3139">
              <w:rPr>
                <w:sz w:val="20"/>
                <w:szCs w:val="20"/>
              </w:rPr>
              <w:t>0</w:t>
            </w:r>
          </w:p>
        </w:tc>
      </w:tr>
      <w:tr w:rsidR="00CB3139" w:rsidRPr="00CB3139" w:rsidTr="00DD2905">
        <w:tc>
          <w:tcPr>
            <w:tcW w:w="5778" w:type="dxa"/>
            <w:shd w:val="clear" w:color="auto" w:fill="auto"/>
          </w:tcPr>
          <w:p w:rsidR="00CB3139" w:rsidRPr="00323F5E" w:rsidRDefault="00CB3139" w:rsidP="00CB3139">
            <w:pPr>
              <w:pStyle w:val="ListParagraph"/>
              <w:numPr>
                <w:ilvl w:val="0"/>
                <w:numId w:val="13"/>
              </w:numPr>
              <w:spacing w:after="0"/>
              <w:jc w:val="both"/>
              <w:rPr>
                <w:b/>
                <w:sz w:val="20"/>
                <w:szCs w:val="20"/>
              </w:rPr>
            </w:pPr>
            <w:r w:rsidRPr="00323F5E">
              <w:rPr>
                <w:b/>
                <w:sz w:val="20"/>
                <w:szCs w:val="20"/>
              </w:rPr>
              <w:t>Общо печалба</w:t>
            </w:r>
          </w:p>
        </w:tc>
        <w:tc>
          <w:tcPr>
            <w:tcW w:w="2127" w:type="dxa"/>
            <w:shd w:val="clear" w:color="auto" w:fill="auto"/>
          </w:tcPr>
          <w:p w:rsidR="00CB3139" w:rsidRPr="00323F5E" w:rsidRDefault="00CB3139" w:rsidP="00CB3139">
            <w:pPr>
              <w:spacing w:after="0"/>
              <w:ind w:firstLine="567"/>
              <w:jc w:val="right"/>
              <w:rPr>
                <w:b/>
                <w:sz w:val="20"/>
                <w:szCs w:val="20"/>
              </w:rPr>
            </w:pPr>
            <w:r w:rsidRPr="00323F5E">
              <w:rPr>
                <w:b/>
                <w:sz w:val="20"/>
                <w:szCs w:val="20"/>
              </w:rPr>
              <w:t>45 670</w:t>
            </w:r>
          </w:p>
        </w:tc>
      </w:tr>
    </w:tbl>
    <w:p w:rsidR="00AC1AC9" w:rsidRPr="00022F06" w:rsidRDefault="003D4A66" w:rsidP="007D1A8E">
      <w:pPr>
        <w:spacing w:after="0"/>
        <w:ind w:firstLine="567"/>
        <w:jc w:val="both"/>
        <w:rPr>
          <w:sz w:val="24"/>
          <w:szCs w:val="24"/>
        </w:rPr>
      </w:pPr>
      <w:r w:rsidRPr="00022F06">
        <w:rPr>
          <w:sz w:val="24"/>
          <w:szCs w:val="24"/>
        </w:rPr>
        <w:lastRenderedPageBreak/>
        <w:t>Наред с поетапното разширяване на дейността като земеделски производител „Видахим“ АД предвижда продължаване работата на Завода за гуми. За целта има изготвена производствена програма и сключени договори с клиенти, приложени към заявлението.</w:t>
      </w:r>
    </w:p>
    <w:p w:rsidR="003D4A66" w:rsidRPr="00022F06" w:rsidRDefault="003D4A66" w:rsidP="007D1A8E">
      <w:pPr>
        <w:spacing w:after="0"/>
        <w:ind w:firstLine="567"/>
        <w:jc w:val="both"/>
        <w:rPr>
          <w:sz w:val="24"/>
          <w:szCs w:val="24"/>
        </w:rPr>
      </w:pPr>
      <w:r w:rsidRPr="00022F06">
        <w:rPr>
          <w:sz w:val="24"/>
          <w:szCs w:val="24"/>
        </w:rPr>
        <w:t xml:space="preserve">Предвиждаме също и доставка на топлинна енергия за отопление и производствена дейност на други клиенти, с които имаме сключени договори, в т.ч. </w:t>
      </w:r>
      <w:r w:rsidR="00022F06" w:rsidRPr="00022F06">
        <w:rPr>
          <w:sz w:val="24"/>
          <w:szCs w:val="24"/>
        </w:rPr>
        <w:t>оранжерии и катедрален храм.</w:t>
      </w:r>
    </w:p>
    <w:p w:rsidR="00022F06" w:rsidRPr="00022F06" w:rsidRDefault="00022F06" w:rsidP="007D1A8E">
      <w:pPr>
        <w:spacing w:after="0"/>
        <w:ind w:firstLine="567"/>
        <w:jc w:val="both"/>
        <w:rPr>
          <w:sz w:val="24"/>
          <w:szCs w:val="24"/>
        </w:rPr>
      </w:pPr>
      <w:r w:rsidRPr="00022F06">
        <w:rPr>
          <w:sz w:val="24"/>
          <w:szCs w:val="24"/>
        </w:rPr>
        <w:t>Информация за обвързаността на предвидената за реализация топлинна енергия е както следва:</w:t>
      </w:r>
    </w:p>
    <w:p w:rsidR="00AC1AC9" w:rsidRPr="00022F06" w:rsidRDefault="00AC1AC9" w:rsidP="00022F06">
      <w:pPr>
        <w:spacing w:after="0"/>
        <w:jc w:val="both"/>
        <w:rPr>
          <w:sz w:val="24"/>
          <w:szCs w:val="24"/>
        </w:rPr>
      </w:pPr>
    </w:p>
    <w:tbl>
      <w:tblPr>
        <w:tblStyle w:val="TableGrid"/>
        <w:tblW w:w="0" w:type="auto"/>
        <w:jc w:val="center"/>
        <w:tblLook w:val="04A0" w:firstRow="1" w:lastRow="0" w:firstColumn="1" w:lastColumn="0" w:noHBand="0" w:noVBand="1"/>
      </w:tblPr>
      <w:tblGrid>
        <w:gridCol w:w="2303"/>
        <w:gridCol w:w="2303"/>
        <w:gridCol w:w="2303"/>
        <w:gridCol w:w="2303"/>
      </w:tblGrid>
      <w:tr w:rsidR="00AC1AC9" w:rsidTr="00AC1AC9">
        <w:trPr>
          <w:jc w:val="center"/>
        </w:trPr>
        <w:tc>
          <w:tcPr>
            <w:tcW w:w="2303" w:type="dxa"/>
            <w:vAlign w:val="center"/>
          </w:tcPr>
          <w:p w:rsidR="00AC1AC9" w:rsidRPr="00022F06" w:rsidRDefault="00AC1AC9" w:rsidP="00AC1AC9">
            <w:pPr>
              <w:jc w:val="center"/>
              <w:rPr>
                <w:sz w:val="24"/>
                <w:szCs w:val="24"/>
              </w:rPr>
            </w:pPr>
            <w:r w:rsidRPr="00022F06">
              <w:rPr>
                <w:sz w:val="24"/>
                <w:szCs w:val="24"/>
              </w:rPr>
              <w:t>Общо топлинна енергия</w:t>
            </w:r>
          </w:p>
        </w:tc>
        <w:tc>
          <w:tcPr>
            <w:tcW w:w="2303" w:type="dxa"/>
            <w:vAlign w:val="center"/>
          </w:tcPr>
          <w:p w:rsidR="00AC1AC9" w:rsidRPr="00022F06" w:rsidRDefault="00AC1AC9" w:rsidP="00AC1AC9">
            <w:pPr>
              <w:jc w:val="center"/>
              <w:rPr>
                <w:sz w:val="24"/>
                <w:szCs w:val="24"/>
              </w:rPr>
            </w:pPr>
            <w:r w:rsidRPr="00022F06">
              <w:rPr>
                <w:sz w:val="24"/>
                <w:szCs w:val="24"/>
              </w:rPr>
              <w:t>Завод за гуми</w:t>
            </w:r>
          </w:p>
        </w:tc>
        <w:tc>
          <w:tcPr>
            <w:tcW w:w="2303" w:type="dxa"/>
            <w:vAlign w:val="center"/>
          </w:tcPr>
          <w:p w:rsidR="00AC1AC9" w:rsidRPr="00022F06" w:rsidRDefault="00AC1AC9" w:rsidP="00AC1AC9">
            <w:pPr>
              <w:jc w:val="center"/>
              <w:rPr>
                <w:sz w:val="24"/>
                <w:szCs w:val="24"/>
              </w:rPr>
            </w:pPr>
            <w:r w:rsidRPr="00022F06">
              <w:rPr>
                <w:sz w:val="24"/>
                <w:szCs w:val="24"/>
              </w:rPr>
              <w:t>Оранжерии</w:t>
            </w:r>
          </w:p>
        </w:tc>
        <w:tc>
          <w:tcPr>
            <w:tcW w:w="2303" w:type="dxa"/>
            <w:vAlign w:val="center"/>
          </w:tcPr>
          <w:p w:rsidR="00AC1AC9" w:rsidRPr="00022F06" w:rsidRDefault="00AC1AC9" w:rsidP="00AC1AC9">
            <w:pPr>
              <w:jc w:val="center"/>
              <w:rPr>
                <w:sz w:val="24"/>
                <w:szCs w:val="24"/>
              </w:rPr>
            </w:pPr>
            <w:r w:rsidRPr="00022F06">
              <w:rPr>
                <w:sz w:val="24"/>
                <w:szCs w:val="24"/>
              </w:rPr>
              <w:t>Снабдяване с топлинна енергия на църквата, други промишлени клиенти, и т.н.</w:t>
            </w:r>
          </w:p>
        </w:tc>
      </w:tr>
      <w:tr w:rsidR="00AC1AC9" w:rsidTr="00AC1AC9">
        <w:trPr>
          <w:jc w:val="center"/>
        </w:trPr>
        <w:tc>
          <w:tcPr>
            <w:tcW w:w="2303" w:type="dxa"/>
            <w:vAlign w:val="center"/>
          </w:tcPr>
          <w:p w:rsidR="00AC1AC9" w:rsidRPr="00022F06" w:rsidRDefault="003844F1" w:rsidP="00AC1AC9">
            <w:pPr>
              <w:jc w:val="center"/>
              <w:rPr>
                <w:sz w:val="24"/>
                <w:szCs w:val="24"/>
              </w:rPr>
            </w:pPr>
            <w:r w:rsidRPr="00022F06">
              <w:rPr>
                <w:sz w:val="24"/>
                <w:szCs w:val="24"/>
              </w:rPr>
              <w:t>МВтч</w:t>
            </w:r>
          </w:p>
        </w:tc>
        <w:tc>
          <w:tcPr>
            <w:tcW w:w="2303" w:type="dxa"/>
            <w:vAlign w:val="center"/>
          </w:tcPr>
          <w:p w:rsidR="00AC1AC9" w:rsidRPr="00022F06" w:rsidRDefault="003844F1" w:rsidP="00AC1AC9">
            <w:pPr>
              <w:jc w:val="center"/>
              <w:rPr>
                <w:sz w:val="24"/>
                <w:szCs w:val="24"/>
              </w:rPr>
            </w:pPr>
            <w:r w:rsidRPr="00022F06">
              <w:rPr>
                <w:sz w:val="24"/>
                <w:szCs w:val="24"/>
              </w:rPr>
              <w:t>МВтч</w:t>
            </w:r>
          </w:p>
        </w:tc>
        <w:tc>
          <w:tcPr>
            <w:tcW w:w="2303" w:type="dxa"/>
            <w:vAlign w:val="center"/>
          </w:tcPr>
          <w:p w:rsidR="00AC1AC9" w:rsidRPr="00022F06" w:rsidRDefault="003844F1" w:rsidP="00AC1AC9">
            <w:pPr>
              <w:jc w:val="center"/>
              <w:rPr>
                <w:sz w:val="24"/>
                <w:szCs w:val="24"/>
              </w:rPr>
            </w:pPr>
            <w:r w:rsidRPr="00022F06">
              <w:rPr>
                <w:sz w:val="24"/>
                <w:szCs w:val="24"/>
              </w:rPr>
              <w:t>МВтч</w:t>
            </w:r>
          </w:p>
        </w:tc>
        <w:tc>
          <w:tcPr>
            <w:tcW w:w="2303" w:type="dxa"/>
            <w:vAlign w:val="center"/>
          </w:tcPr>
          <w:p w:rsidR="00AC1AC9" w:rsidRPr="00022F06" w:rsidRDefault="003844F1" w:rsidP="00AC1AC9">
            <w:pPr>
              <w:jc w:val="center"/>
              <w:rPr>
                <w:sz w:val="24"/>
                <w:szCs w:val="24"/>
              </w:rPr>
            </w:pPr>
            <w:r w:rsidRPr="00022F06">
              <w:rPr>
                <w:sz w:val="24"/>
                <w:szCs w:val="24"/>
              </w:rPr>
              <w:t>МВтч</w:t>
            </w:r>
          </w:p>
        </w:tc>
      </w:tr>
      <w:tr w:rsidR="00022F06" w:rsidTr="00AC1AC9">
        <w:trPr>
          <w:jc w:val="center"/>
        </w:trPr>
        <w:tc>
          <w:tcPr>
            <w:tcW w:w="2303" w:type="dxa"/>
            <w:vAlign w:val="center"/>
          </w:tcPr>
          <w:p w:rsidR="00022F06" w:rsidRPr="00022F06" w:rsidRDefault="00022F06" w:rsidP="00AC1AC9">
            <w:pPr>
              <w:jc w:val="center"/>
              <w:rPr>
                <w:sz w:val="24"/>
                <w:szCs w:val="24"/>
              </w:rPr>
            </w:pPr>
            <w:r w:rsidRPr="00022F06">
              <w:rPr>
                <w:sz w:val="24"/>
                <w:szCs w:val="24"/>
              </w:rPr>
              <w:t>649 800</w:t>
            </w:r>
          </w:p>
        </w:tc>
        <w:tc>
          <w:tcPr>
            <w:tcW w:w="2303" w:type="dxa"/>
            <w:vAlign w:val="center"/>
          </w:tcPr>
          <w:p w:rsidR="00022F06" w:rsidRPr="00022F06" w:rsidRDefault="00022F06" w:rsidP="00AC1AC9">
            <w:pPr>
              <w:jc w:val="center"/>
              <w:rPr>
                <w:sz w:val="24"/>
                <w:szCs w:val="24"/>
              </w:rPr>
            </w:pPr>
            <w:r w:rsidRPr="00022F06">
              <w:rPr>
                <w:sz w:val="24"/>
                <w:szCs w:val="24"/>
              </w:rPr>
              <w:t>590 790</w:t>
            </w:r>
          </w:p>
        </w:tc>
        <w:tc>
          <w:tcPr>
            <w:tcW w:w="2303" w:type="dxa"/>
            <w:vAlign w:val="center"/>
          </w:tcPr>
          <w:p w:rsidR="00022F06" w:rsidRPr="00022F06" w:rsidRDefault="00022F06" w:rsidP="00AC1AC9">
            <w:pPr>
              <w:jc w:val="center"/>
              <w:rPr>
                <w:sz w:val="24"/>
                <w:szCs w:val="24"/>
              </w:rPr>
            </w:pPr>
            <w:r w:rsidRPr="00022F06">
              <w:rPr>
                <w:sz w:val="24"/>
                <w:szCs w:val="24"/>
              </w:rPr>
              <w:t>22 220</w:t>
            </w:r>
          </w:p>
        </w:tc>
        <w:tc>
          <w:tcPr>
            <w:tcW w:w="2303" w:type="dxa"/>
            <w:vAlign w:val="center"/>
          </w:tcPr>
          <w:p w:rsidR="00022F06" w:rsidRPr="00022F06" w:rsidRDefault="00022F06" w:rsidP="00AC1AC9">
            <w:pPr>
              <w:jc w:val="center"/>
              <w:rPr>
                <w:sz w:val="24"/>
                <w:szCs w:val="24"/>
              </w:rPr>
            </w:pPr>
            <w:r w:rsidRPr="00022F06">
              <w:rPr>
                <w:sz w:val="24"/>
                <w:szCs w:val="24"/>
              </w:rPr>
              <w:t>36 790</w:t>
            </w:r>
          </w:p>
        </w:tc>
      </w:tr>
    </w:tbl>
    <w:p w:rsidR="007B2979" w:rsidRDefault="007B2979" w:rsidP="00022F06">
      <w:pPr>
        <w:spacing w:after="0"/>
        <w:jc w:val="both"/>
        <w:rPr>
          <w:b/>
          <w:sz w:val="24"/>
          <w:szCs w:val="24"/>
        </w:rPr>
      </w:pPr>
    </w:p>
    <w:p w:rsidR="00022F06" w:rsidRDefault="00022F06" w:rsidP="00022F06">
      <w:pPr>
        <w:spacing w:after="0"/>
        <w:jc w:val="both"/>
        <w:rPr>
          <w:b/>
          <w:sz w:val="24"/>
          <w:szCs w:val="24"/>
        </w:rPr>
      </w:pPr>
    </w:p>
    <w:p w:rsidR="00E42EA8" w:rsidRPr="00E42EA8" w:rsidRDefault="00E42EA8" w:rsidP="007D1A8E">
      <w:pPr>
        <w:spacing w:after="0"/>
        <w:ind w:firstLine="567"/>
        <w:jc w:val="both"/>
        <w:rPr>
          <w:b/>
          <w:sz w:val="24"/>
          <w:szCs w:val="24"/>
        </w:rPr>
      </w:pPr>
      <w:r w:rsidRPr="00E42EA8">
        <w:rPr>
          <w:b/>
          <w:sz w:val="24"/>
          <w:szCs w:val="24"/>
        </w:rPr>
        <w:t>Технико-икономически анализ на производството на високоефективна комбинирана енергия от ТЕЦ Видин</w:t>
      </w:r>
    </w:p>
    <w:p w:rsidR="00417DCD" w:rsidRDefault="00417DCD" w:rsidP="00417DCD">
      <w:pPr>
        <w:spacing w:after="0"/>
        <w:jc w:val="both"/>
        <w:rPr>
          <w:sz w:val="24"/>
          <w:szCs w:val="24"/>
        </w:rPr>
      </w:pPr>
    </w:p>
    <w:p w:rsidR="00181608" w:rsidRDefault="00181608" w:rsidP="006C6FF5">
      <w:pPr>
        <w:spacing w:after="0"/>
        <w:ind w:firstLine="567"/>
        <w:jc w:val="both"/>
        <w:rPr>
          <w:sz w:val="24"/>
          <w:szCs w:val="24"/>
        </w:rPr>
      </w:pPr>
      <w:r w:rsidRPr="00181608">
        <w:rPr>
          <w:sz w:val="24"/>
          <w:szCs w:val="24"/>
        </w:rPr>
        <w:t xml:space="preserve">Производството на каучукови изделия </w:t>
      </w:r>
      <w:r w:rsidR="00B24A5C">
        <w:rPr>
          <w:sz w:val="24"/>
          <w:szCs w:val="24"/>
        </w:rPr>
        <w:t>и работата на оранжерийният комплекс на Видахим АД са в</w:t>
      </w:r>
      <w:r w:rsidRPr="00181608">
        <w:rPr>
          <w:sz w:val="24"/>
          <w:szCs w:val="24"/>
        </w:rPr>
        <w:t xml:space="preserve"> пряка връзка с производството на </w:t>
      </w:r>
      <w:r w:rsidR="00B24A5C">
        <w:rPr>
          <w:sz w:val="24"/>
          <w:szCs w:val="24"/>
        </w:rPr>
        <w:t xml:space="preserve">високо ефективна </w:t>
      </w:r>
      <w:r w:rsidRPr="00181608">
        <w:rPr>
          <w:sz w:val="24"/>
          <w:szCs w:val="24"/>
        </w:rPr>
        <w:t xml:space="preserve">електрическа енергия от ТЕЦ, </w:t>
      </w:r>
      <w:r w:rsidR="00B24A5C">
        <w:rPr>
          <w:sz w:val="24"/>
          <w:szCs w:val="24"/>
        </w:rPr>
        <w:t>която подлежи на изкупуване от Обществения доставчик.</w:t>
      </w:r>
      <w:r w:rsidRPr="00181608">
        <w:rPr>
          <w:sz w:val="24"/>
          <w:szCs w:val="24"/>
        </w:rPr>
        <w:t xml:space="preserve"> Технологичният процес за производството на гуми е свързан с използване на топлинна енергия, която не може да бъде доставена от друг доставчик, т.е. не съществува алтернативна възможност за взаимозаменяемост на енергоиз</w:t>
      </w:r>
      <w:r w:rsidR="001038C8">
        <w:rPr>
          <w:sz w:val="24"/>
          <w:szCs w:val="24"/>
        </w:rPr>
        <w:t>то</w:t>
      </w:r>
      <w:r w:rsidRPr="00181608">
        <w:rPr>
          <w:sz w:val="24"/>
          <w:szCs w:val="24"/>
        </w:rPr>
        <w:t xml:space="preserve">чника. </w:t>
      </w:r>
      <w:r w:rsidR="00B24A5C">
        <w:rPr>
          <w:sz w:val="24"/>
          <w:szCs w:val="24"/>
        </w:rPr>
        <w:t>Аналогично е и захранването с топлинна енергия на оранжерийният комплекс от ТЕЦ Видин. Етапите, свързани с производство и пренос на топлинна енергия до отделните обекти са технически обвързани и не могат да работят автономно.</w:t>
      </w:r>
    </w:p>
    <w:p w:rsidR="00B05B49" w:rsidRDefault="00181608" w:rsidP="00F3520E">
      <w:pPr>
        <w:spacing w:after="0"/>
        <w:ind w:firstLine="567"/>
        <w:jc w:val="both"/>
        <w:rPr>
          <w:sz w:val="24"/>
          <w:szCs w:val="24"/>
        </w:rPr>
      </w:pPr>
      <w:r>
        <w:rPr>
          <w:sz w:val="24"/>
          <w:szCs w:val="24"/>
        </w:rPr>
        <w:t>Заводската централа към Видахим е</w:t>
      </w:r>
      <w:r w:rsidR="00AF5D37">
        <w:rPr>
          <w:sz w:val="24"/>
          <w:szCs w:val="24"/>
        </w:rPr>
        <w:t xml:space="preserve"> с обща инсталирана мощност 60</w:t>
      </w:r>
      <w:r>
        <w:rPr>
          <w:sz w:val="24"/>
          <w:szCs w:val="24"/>
        </w:rPr>
        <w:t xml:space="preserve"> МВт. Ц</w:t>
      </w:r>
      <w:r w:rsidR="00AF5D37">
        <w:rPr>
          <w:sz w:val="24"/>
          <w:szCs w:val="24"/>
        </w:rPr>
        <w:t>ентралата е построена през 1969</w:t>
      </w:r>
      <w:r>
        <w:rPr>
          <w:sz w:val="24"/>
          <w:szCs w:val="24"/>
        </w:rPr>
        <w:t xml:space="preserve"> г. и е предназначена да използва високо калорични вносни въглища – с произход Русия и Украйна. </w:t>
      </w:r>
    </w:p>
    <w:p w:rsidR="00B05B49" w:rsidRPr="00B05B49" w:rsidRDefault="00B05B49" w:rsidP="006C6FF5">
      <w:pPr>
        <w:spacing w:after="0"/>
        <w:ind w:firstLine="567"/>
        <w:jc w:val="both"/>
        <w:rPr>
          <w:sz w:val="24"/>
          <w:szCs w:val="24"/>
        </w:rPr>
      </w:pPr>
      <w:r w:rsidRPr="00B05B49">
        <w:rPr>
          <w:sz w:val="24"/>
          <w:szCs w:val="24"/>
        </w:rPr>
        <w:t>Проектните  въглища, необходими за работата на централата са марка ПА от Донецкия басейн в Украйна. През последните години</w:t>
      </w:r>
      <w:r>
        <w:rPr>
          <w:sz w:val="24"/>
          <w:szCs w:val="24"/>
        </w:rPr>
        <w:t>,</w:t>
      </w:r>
      <w:r w:rsidRPr="00B05B49">
        <w:rPr>
          <w:sz w:val="24"/>
          <w:szCs w:val="24"/>
        </w:rPr>
        <w:t xml:space="preserve"> във връзка  със спазване екологичните изисквания и намаляване нормите на серни окиси ТЕЦ към „Видахим“ изгаря руски въглища с ниско </w:t>
      </w:r>
      <w:r w:rsidR="00F3520E">
        <w:rPr>
          <w:sz w:val="24"/>
          <w:szCs w:val="24"/>
        </w:rPr>
        <w:t xml:space="preserve">съдържание на сяра </w:t>
      </w:r>
      <w:r w:rsidRPr="00B05B49">
        <w:rPr>
          <w:sz w:val="24"/>
          <w:szCs w:val="24"/>
        </w:rPr>
        <w:t>(&lt;0, 4%).</w:t>
      </w:r>
    </w:p>
    <w:p w:rsidR="00B05B49" w:rsidRPr="00B05B49" w:rsidRDefault="00B05B49" w:rsidP="00F3520E">
      <w:pPr>
        <w:spacing w:after="0"/>
        <w:ind w:firstLine="567"/>
        <w:jc w:val="both"/>
        <w:rPr>
          <w:sz w:val="24"/>
          <w:szCs w:val="24"/>
        </w:rPr>
      </w:pPr>
      <w:r w:rsidRPr="00B05B49">
        <w:rPr>
          <w:sz w:val="24"/>
          <w:szCs w:val="24"/>
        </w:rPr>
        <w:t>Централата не може да изгаря и не е проектирана за други типове въглища, като например Индонезийски, Южноафрикански, Виетнамски и др. поради следните причини:</w:t>
      </w:r>
    </w:p>
    <w:p w:rsidR="001038C8" w:rsidRDefault="001038C8" w:rsidP="00070DAE">
      <w:pPr>
        <w:spacing w:after="0"/>
        <w:jc w:val="both"/>
        <w:rPr>
          <w:sz w:val="24"/>
          <w:szCs w:val="24"/>
        </w:rPr>
      </w:pPr>
      <w:r>
        <w:rPr>
          <w:sz w:val="24"/>
          <w:szCs w:val="24"/>
        </w:rPr>
        <w:t xml:space="preserve">        </w:t>
      </w:r>
      <w:r w:rsidR="00B05B49" w:rsidRPr="00B05B49">
        <w:rPr>
          <w:sz w:val="24"/>
          <w:szCs w:val="24"/>
        </w:rPr>
        <w:t xml:space="preserve">1. По </w:t>
      </w:r>
      <w:r w:rsidR="00F3520E">
        <w:rPr>
          <w:sz w:val="24"/>
          <w:szCs w:val="24"/>
        </w:rPr>
        <w:t>-</w:t>
      </w:r>
      <w:r w:rsidR="00B05B49" w:rsidRPr="00B05B49">
        <w:rPr>
          <w:sz w:val="24"/>
          <w:szCs w:val="24"/>
        </w:rPr>
        <w:t xml:space="preserve"> високото им сярно съдържание</w:t>
      </w:r>
      <w:r w:rsidR="00B05B49">
        <w:rPr>
          <w:sz w:val="24"/>
          <w:szCs w:val="24"/>
        </w:rPr>
        <w:t xml:space="preserve"> </w:t>
      </w:r>
      <w:r>
        <w:rPr>
          <w:sz w:val="24"/>
          <w:szCs w:val="24"/>
        </w:rPr>
        <w:t>(S = 1,1 - 1,4%).</w:t>
      </w:r>
    </w:p>
    <w:p w:rsidR="00B05B49" w:rsidRPr="00B05B49" w:rsidRDefault="00B05B49" w:rsidP="00070DAE">
      <w:pPr>
        <w:spacing w:after="0"/>
        <w:jc w:val="both"/>
        <w:rPr>
          <w:sz w:val="24"/>
          <w:szCs w:val="24"/>
        </w:rPr>
      </w:pPr>
      <w:r w:rsidRPr="00B05B49">
        <w:rPr>
          <w:sz w:val="24"/>
          <w:szCs w:val="24"/>
        </w:rPr>
        <w:lastRenderedPageBreak/>
        <w:t xml:space="preserve">        2. По</w:t>
      </w:r>
      <w:r w:rsidR="00F3520E">
        <w:rPr>
          <w:sz w:val="24"/>
          <w:szCs w:val="24"/>
        </w:rPr>
        <w:t xml:space="preserve"> -</w:t>
      </w:r>
      <w:r w:rsidRPr="00B05B49">
        <w:rPr>
          <w:sz w:val="24"/>
          <w:szCs w:val="24"/>
        </w:rPr>
        <w:t xml:space="preserve"> високите им летливи</w:t>
      </w:r>
      <w:r>
        <w:rPr>
          <w:sz w:val="24"/>
          <w:szCs w:val="24"/>
        </w:rPr>
        <w:t xml:space="preserve"> вещества </w:t>
      </w:r>
      <w:r w:rsidRPr="00B05B49">
        <w:rPr>
          <w:sz w:val="24"/>
          <w:szCs w:val="24"/>
        </w:rPr>
        <w:t>(V =  19 - 20%). Прахта от тези въглища  се самозапалва в  прахови  бункери, пада налягането в барабана  и Котлоагрегата не може да подържа нормални номинални параметри. Пада рязко температурата на прегрята пара и се задейства защитата от ниска температура, която води до изключване на Котлоагрегата и турбините.</w:t>
      </w:r>
    </w:p>
    <w:p w:rsidR="00B05B49" w:rsidRDefault="00B05B49" w:rsidP="00070DAE">
      <w:pPr>
        <w:spacing w:after="0"/>
        <w:jc w:val="both"/>
        <w:rPr>
          <w:sz w:val="24"/>
          <w:szCs w:val="24"/>
        </w:rPr>
      </w:pPr>
      <w:r w:rsidRPr="00B05B49">
        <w:rPr>
          <w:sz w:val="24"/>
          <w:szCs w:val="24"/>
        </w:rPr>
        <w:t xml:space="preserve">        3.</w:t>
      </w:r>
      <w:r w:rsidR="00CC2343">
        <w:rPr>
          <w:sz w:val="24"/>
          <w:szCs w:val="24"/>
        </w:rPr>
        <w:t xml:space="preserve"> </w:t>
      </w:r>
      <w:r w:rsidRPr="00B05B49">
        <w:rPr>
          <w:sz w:val="24"/>
          <w:szCs w:val="24"/>
        </w:rPr>
        <w:t>Висока температура  на топе</w:t>
      </w:r>
      <w:r w:rsidR="00CC2343">
        <w:rPr>
          <w:sz w:val="24"/>
          <w:szCs w:val="24"/>
        </w:rPr>
        <w:t>не на пепелта на  тези въглища (</w:t>
      </w:r>
      <w:r w:rsidRPr="00B05B49">
        <w:rPr>
          <w:sz w:val="24"/>
          <w:szCs w:val="24"/>
        </w:rPr>
        <w:t>t</w:t>
      </w:r>
      <w:r w:rsidRPr="00F3520E">
        <w:rPr>
          <w:sz w:val="24"/>
          <w:szCs w:val="24"/>
          <w:vertAlign w:val="subscript"/>
        </w:rPr>
        <w:t>3</w:t>
      </w:r>
      <w:r w:rsidRPr="00B05B49">
        <w:rPr>
          <w:sz w:val="24"/>
          <w:szCs w:val="24"/>
        </w:rPr>
        <w:t xml:space="preserve"> = 1400 </w:t>
      </w:r>
      <w:r w:rsidRPr="00F3520E">
        <w:rPr>
          <w:sz w:val="24"/>
          <w:szCs w:val="24"/>
          <w:vertAlign w:val="superscript"/>
        </w:rPr>
        <w:t>о</w:t>
      </w:r>
      <w:r w:rsidRPr="00B05B49">
        <w:rPr>
          <w:sz w:val="24"/>
          <w:szCs w:val="24"/>
        </w:rPr>
        <w:t>С - проект). При тези въглища още t</w:t>
      </w:r>
      <w:r w:rsidRPr="00F3520E">
        <w:rPr>
          <w:sz w:val="24"/>
          <w:szCs w:val="24"/>
          <w:vertAlign w:val="subscript"/>
        </w:rPr>
        <w:t>1</w:t>
      </w:r>
      <w:r w:rsidRPr="00B05B49">
        <w:rPr>
          <w:sz w:val="24"/>
          <w:szCs w:val="24"/>
        </w:rPr>
        <w:t xml:space="preserve">  &gt;  1450 </w:t>
      </w:r>
      <w:r w:rsidRPr="00F3520E">
        <w:rPr>
          <w:sz w:val="24"/>
          <w:szCs w:val="24"/>
          <w:vertAlign w:val="superscript"/>
        </w:rPr>
        <w:t>о</w:t>
      </w:r>
      <w:r w:rsidRPr="00B05B49">
        <w:rPr>
          <w:sz w:val="24"/>
          <w:szCs w:val="24"/>
        </w:rPr>
        <w:t>С. Поради тази причина се затяга процеса на горене. Почти няма течно шлакоотделяне, като  имаме сепарация на прах на пода на Котлоагрегата, при което възниква опасност от зашлак</w:t>
      </w:r>
      <w:r w:rsidR="00F3520E">
        <w:rPr>
          <w:sz w:val="24"/>
          <w:szCs w:val="24"/>
        </w:rPr>
        <w:t>о</w:t>
      </w:r>
      <w:r w:rsidRPr="00B05B49">
        <w:rPr>
          <w:sz w:val="24"/>
          <w:szCs w:val="24"/>
        </w:rPr>
        <w:t>ване на шлаков</w:t>
      </w:r>
      <w:r w:rsidR="00DB289E">
        <w:rPr>
          <w:sz w:val="24"/>
          <w:szCs w:val="24"/>
        </w:rPr>
        <w:t>ия  отвор. Увеличава се процентно</w:t>
      </w:r>
      <w:r w:rsidRPr="00B05B49">
        <w:rPr>
          <w:sz w:val="24"/>
          <w:szCs w:val="24"/>
        </w:rPr>
        <w:t xml:space="preserve">  дела на пепелта в уноса до 95%</w:t>
      </w:r>
      <w:r w:rsidR="00CC2343">
        <w:rPr>
          <w:sz w:val="24"/>
          <w:szCs w:val="24"/>
        </w:rPr>
        <w:t xml:space="preserve"> </w:t>
      </w:r>
      <w:r w:rsidRPr="00B05B49">
        <w:rPr>
          <w:sz w:val="24"/>
          <w:szCs w:val="24"/>
        </w:rPr>
        <w:t>(а</w:t>
      </w:r>
      <w:r w:rsidRPr="00F3520E">
        <w:rPr>
          <w:sz w:val="24"/>
          <w:szCs w:val="24"/>
          <w:vertAlign w:val="subscript"/>
        </w:rPr>
        <w:t>ун</w:t>
      </w:r>
      <w:r w:rsidRPr="00B05B49">
        <w:rPr>
          <w:sz w:val="24"/>
          <w:szCs w:val="24"/>
        </w:rPr>
        <w:t xml:space="preserve"> = 85% проект), което води  до покачване на процента на горимо в уноса до 20% , увеличаване  загубата от механическо недоизгаряне до 5% (3% - проект). Всичко това води до намаляване КПД на Котлоагрегата, респективно  прер</w:t>
      </w:r>
      <w:r w:rsidR="001038C8">
        <w:rPr>
          <w:sz w:val="24"/>
          <w:szCs w:val="24"/>
        </w:rPr>
        <w:t>азход на въглища.  Котлоагрегатът</w:t>
      </w:r>
      <w:r w:rsidRPr="00B05B49">
        <w:rPr>
          <w:sz w:val="24"/>
          <w:szCs w:val="24"/>
        </w:rPr>
        <w:t xml:space="preserve"> започва интензивно да се зашлакова по нагревни повърхности. Забиват се с повече пепел въздухоподгревателите му, което води  до намаляване на резерва по тяга с последващо намаление на паропроизводството му.  Увеличават </w:t>
      </w:r>
      <w:r w:rsidR="001038C8">
        <w:rPr>
          <w:sz w:val="24"/>
          <w:szCs w:val="24"/>
        </w:rPr>
        <w:t>се собствените нужди на електро</w:t>
      </w:r>
      <w:r w:rsidRPr="00B05B49">
        <w:rPr>
          <w:sz w:val="24"/>
          <w:szCs w:val="24"/>
        </w:rPr>
        <w:t>енергия поради увеличеното натоварване на въздушни вентилатори (по-високите летливи се нуждаят от повече въздух) и на димни вентилатори, за да се подържа нормална тяга.</w:t>
      </w:r>
    </w:p>
    <w:p w:rsidR="00F20C9B" w:rsidRDefault="00F20C9B" w:rsidP="00070DAE">
      <w:pPr>
        <w:spacing w:after="0"/>
        <w:jc w:val="both"/>
        <w:rPr>
          <w:sz w:val="24"/>
          <w:szCs w:val="24"/>
        </w:rPr>
      </w:pPr>
    </w:p>
    <w:p w:rsidR="00C3042E" w:rsidRDefault="00F20C9B" w:rsidP="006C6FF5">
      <w:pPr>
        <w:pStyle w:val="ListParagraph"/>
        <w:numPr>
          <w:ilvl w:val="0"/>
          <w:numId w:val="4"/>
        </w:numPr>
        <w:tabs>
          <w:tab w:val="left" w:pos="851"/>
        </w:tabs>
        <w:ind w:hanging="153"/>
        <w:rPr>
          <w:b/>
        </w:rPr>
      </w:pPr>
      <w:r>
        <w:rPr>
          <w:b/>
        </w:rPr>
        <w:t xml:space="preserve"> Променливи разходи за производство през новия регулаторен период</w:t>
      </w:r>
    </w:p>
    <w:p w:rsidR="006C6FF5" w:rsidRDefault="006C6FF5" w:rsidP="006C6FF5">
      <w:pPr>
        <w:pStyle w:val="ListParagraph"/>
        <w:tabs>
          <w:tab w:val="left" w:pos="851"/>
        </w:tabs>
        <w:rPr>
          <w:b/>
        </w:rPr>
      </w:pPr>
    </w:p>
    <w:p w:rsidR="00C3042E" w:rsidRDefault="00F20C9B" w:rsidP="006C6FF5">
      <w:pPr>
        <w:pStyle w:val="ListParagraph"/>
        <w:numPr>
          <w:ilvl w:val="1"/>
          <w:numId w:val="4"/>
        </w:numPr>
        <w:ind w:left="993" w:hanging="426"/>
        <w:rPr>
          <w:b/>
        </w:rPr>
      </w:pPr>
      <w:r>
        <w:rPr>
          <w:b/>
        </w:rPr>
        <w:t>Въглища</w:t>
      </w:r>
    </w:p>
    <w:p w:rsidR="00107EC0" w:rsidRDefault="00107EC0" w:rsidP="006C6FF5">
      <w:pPr>
        <w:ind w:firstLine="567"/>
        <w:jc w:val="both"/>
        <w:rPr>
          <w:sz w:val="24"/>
          <w:szCs w:val="24"/>
        </w:rPr>
      </w:pPr>
      <w:r>
        <w:rPr>
          <w:sz w:val="24"/>
          <w:szCs w:val="24"/>
        </w:rPr>
        <w:t xml:space="preserve">Използваните въглища от Видахим АД през новия регулаторен период покриват </w:t>
      </w:r>
      <w:r w:rsidRPr="00107EC0">
        <w:rPr>
          <w:sz w:val="24"/>
          <w:szCs w:val="24"/>
        </w:rPr>
        <w:t xml:space="preserve">екологичните изисквания </w:t>
      </w:r>
      <w:r>
        <w:rPr>
          <w:sz w:val="24"/>
          <w:szCs w:val="24"/>
        </w:rPr>
        <w:t>за</w:t>
      </w:r>
      <w:r w:rsidRPr="00107EC0">
        <w:rPr>
          <w:sz w:val="24"/>
          <w:szCs w:val="24"/>
        </w:rPr>
        <w:t xml:space="preserve"> намаляване нормите на серни окиси </w:t>
      </w:r>
      <w:r>
        <w:rPr>
          <w:sz w:val="24"/>
          <w:szCs w:val="24"/>
        </w:rPr>
        <w:t xml:space="preserve">от </w:t>
      </w:r>
      <w:r w:rsidRPr="00107EC0">
        <w:rPr>
          <w:sz w:val="24"/>
          <w:szCs w:val="24"/>
        </w:rPr>
        <w:t>ТЕЦ към „Видахим“</w:t>
      </w:r>
      <w:r w:rsidR="00DB289E">
        <w:rPr>
          <w:sz w:val="24"/>
          <w:szCs w:val="24"/>
        </w:rPr>
        <w:t>. З</w:t>
      </w:r>
      <w:r>
        <w:rPr>
          <w:sz w:val="24"/>
          <w:szCs w:val="24"/>
        </w:rPr>
        <w:t xml:space="preserve">а целта се </w:t>
      </w:r>
      <w:r w:rsidRPr="00107EC0">
        <w:rPr>
          <w:sz w:val="24"/>
          <w:szCs w:val="24"/>
        </w:rPr>
        <w:t>изгаря</w:t>
      </w:r>
      <w:r>
        <w:rPr>
          <w:sz w:val="24"/>
          <w:szCs w:val="24"/>
        </w:rPr>
        <w:t>т</w:t>
      </w:r>
      <w:r w:rsidRPr="00107EC0">
        <w:rPr>
          <w:sz w:val="24"/>
          <w:szCs w:val="24"/>
        </w:rPr>
        <w:t xml:space="preserve"> руски въглища с ниско съдържание на сяра (&lt;0,4%).</w:t>
      </w:r>
      <w:r>
        <w:rPr>
          <w:sz w:val="24"/>
          <w:szCs w:val="24"/>
        </w:rPr>
        <w:t xml:space="preserve"> Основната марка въглища, които се използват са марк</w:t>
      </w:r>
      <w:r w:rsidR="00C64979">
        <w:rPr>
          <w:sz w:val="24"/>
          <w:szCs w:val="24"/>
        </w:rPr>
        <w:t>и</w:t>
      </w:r>
      <w:r>
        <w:rPr>
          <w:sz w:val="24"/>
          <w:szCs w:val="24"/>
        </w:rPr>
        <w:t xml:space="preserve"> „Т</w:t>
      </w:r>
      <w:r w:rsidR="00C64979">
        <w:rPr>
          <w:sz w:val="24"/>
          <w:szCs w:val="24"/>
        </w:rPr>
        <w:t>+А</w:t>
      </w:r>
      <w:r>
        <w:rPr>
          <w:sz w:val="24"/>
          <w:szCs w:val="24"/>
        </w:rPr>
        <w:t>“</w:t>
      </w:r>
      <w:r w:rsidR="00C64979">
        <w:rPr>
          <w:sz w:val="24"/>
          <w:szCs w:val="24"/>
        </w:rPr>
        <w:t xml:space="preserve"> и „А“</w:t>
      </w:r>
      <w:r>
        <w:rPr>
          <w:sz w:val="24"/>
          <w:szCs w:val="24"/>
        </w:rPr>
        <w:t>, с произход Украйна</w:t>
      </w:r>
      <w:r w:rsidR="000247AE">
        <w:rPr>
          <w:sz w:val="24"/>
          <w:szCs w:val="24"/>
        </w:rPr>
        <w:t xml:space="preserve"> и Русия</w:t>
      </w:r>
      <w:r>
        <w:rPr>
          <w:sz w:val="24"/>
          <w:szCs w:val="24"/>
        </w:rPr>
        <w:t>, които са с висока калоричност от 6000 ккал</w:t>
      </w:r>
      <w:r w:rsidR="00DB289E">
        <w:rPr>
          <w:sz w:val="24"/>
          <w:szCs w:val="24"/>
        </w:rPr>
        <w:t>/кг</w:t>
      </w:r>
      <w:r>
        <w:rPr>
          <w:sz w:val="24"/>
          <w:szCs w:val="24"/>
        </w:rPr>
        <w:t xml:space="preserve">. Използват се като </w:t>
      </w:r>
      <w:r w:rsidR="00C64979">
        <w:rPr>
          <w:sz w:val="24"/>
          <w:szCs w:val="24"/>
        </w:rPr>
        <w:t>добавка и въглища с марки „ТОМСШ“ и „ДСШ“,</w:t>
      </w:r>
      <w:r>
        <w:rPr>
          <w:sz w:val="24"/>
          <w:szCs w:val="24"/>
        </w:rPr>
        <w:t xml:space="preserve"> с произход </w:t>
      </w:r>
      <w:r w:rsidR="00C64979">
        <w:rPr>
          <w:sz w:val="24"/>
          <w:szCs w:val="24"/>
        </w:rPr>
        <w:t xml:space="preserve">Кузбас, </w:t>
      </w:r>
      <w:r>
        <w:rPr>
          <w:sz w:val="24"/>
          <w:szCs w:val="24"/>
        </w:rPr>
        <w:t>Русия.</w:t>
      </w:r>
    </w:p>
    <w:p w:rsidR="00107EC0" w:rsidRDefault="00BD7C53" w:rsidP="007063B2">
      <w:pPr>
        <w:ind w:firstLine="567"/>
        <w:jc w:val="both"/>
        <w:rPr>
          <w:sz w:val="24"/>
          <w:szCs w:val="24"/>
        </w:rPr>
      </w:pPr>
      <w:r w:rsidRPr="0096566D">
        <w:rPr>
          <w:sz w:val="24"/>
          <w:szCs w:val="24"/>
        </w:rPr>
        <w:t xml:space="preserve">Прогнозните цени на въглищата, доставяни на Видахим АД за новия ценови период са изчислени при преизчисляване доставната цена в левовата равностойност спрямо щатския долар </w:t>
      </w:r>
      <w:r w:rsidRPr="007A4AE1">
        <w:rPr>
          <w:sz w:val="24"/>
          <w:szCs w:val="24"/>
        </w:rPr>
        <w:t xml:space="preserve">към </w:t>
      </w:r>
      <w:r w:rsidR="00107EC0" w:rsidRPr="007A4AE1">
        <w:rPr>
          <w:sz w:val="24"/>
          <w:szCs w:val="24"/>
        </w:rPr>
        <w:t>3</w:t>
      </w:r>
      <w:r w:rsidR="009478A1" w:rsidRPr="007A4AE1">
        <w:rPr>
          <w:sz w:val="24"/>
          <w:szCs w:val="24"/>
          <w:lang w:val="en-US"/>
        </w:rPr>
        <w:t>0</w:t>
      </w:r>
      <w:r w:rsidR="00187A35" w:rsidRPr="007A4AE1">
        <w:rPr>
          <w:sz w:val="24"/>
          <w:szCs w:val="24"/>
        </w:rPr>
        <w:t>.03.201</w:t>
      </w:r>
      <w:r w:rsidR="00CD0D1E" w:rsidRPr="007A4AE1">
        <w:rPr>
          <w:sz w:val="24"/>
          <w:szCs w:val="24"/>
        </w:rPr>
        <w:t>6</w:t>
      </w:r>
      <w:r w:rsidRPr="007A4AE1">
        <w:rPr>
          <w:sz w:val="24"/>
          <w:szCs w:val="24"/>
        </w:rPr>
        <w:t xml:space="preserve">г. </w:t>
      </w:r>
      <w:proofErr w:type="gramStart"/>
      <w:r w:rsidR="009478A1" w:rsidRPr="007A4AE1">
        <w:rPr>
          <w:sz w:val="24"/>
          <w:szCs w:val="24"/>
          <w:lang w:val="en-US"/>
        </w:rPr>
        <w:t>USD 1.8</w:t>
      </w:r>
      <w:r w:rsidR="007A4AE1">
        <w:rPr>
          <w:sz w:val="24"/>
          <w:szCs w:val="24"/>
        </w:rPr>
        <w:t>3</w:t>
      </w:r>
      <w:r w:rsidR="009478A1" w:rsidRPr="007A4AE1">
        <w:rPr>
          <w:sz w:val="24"/>
          <w:szCs w:val="24"/>
          <w:lang w:val="en-US"/>
        </w:rPr>
        <w:t>.</w:t>
      </w:r>
      <w:proofErr w:type="gramEnd"/>
      <w:r w:rsidRPr="0096566D">
        <w:rPr>
          <w:sz w:val="24"/>
          <w:szCs w:val="24"/>
        </w:rPr>
        <w:t xml:space="preserve"> В общата доставна цена са включени и разходи за транспо</w:t>
      </w:r>
      <w:r w:rsidR="00A038D0">
        <w:rPr>
          <w:sz w:val="24"/>
          <w:szCs w:val="24"/>
        </w:rPr>
        <w:t>рт и товаро-разтоварни разходи. Взети са предвид складовите наличности от въглища към датата на подаване на заявлението, както и сключените д</w:t>
      </w:r>
      <w:r w:rsidR="007063B2">
        <w:rPr>
          <w:sz w:val="24"/>
          <w:szCs w:val="24"/>
        </w:rPr>
        <w:t xml:space="preserve">оговори за доставка на </w:t>
      </w:r>
      <w:r w:rsidR="007063B2" w:rsidRPr="007A4AE1">
        <w:rPr>
          <w:sz w:val="24"/>
          <w:szCs w:val="24"/>
        </w:rPr>
        <w:t>въглища -</w:t>
      </w:r>
      <w:r w:rsidR="00A038D0" w:rsidRPr="007A4AE1">
        <w:rPr>
          <w:sz w:val="24"/>
          <w:szCs w:val="24"/>
        </w:rPr>
        <w:t xml:space="preserve"> </w:t>
      </w:r>
      <w:r w:rsidR="007A4AE1">
        <w:rPr>
          <w:sz w:val="24"/>
          <w:szCs w:val="24"/>
        </w:rPr>
        <w:t>160</w:t>
      </w:r>
      <w:r w:rsidR="00A038D0" w:rsidRPr="007A4AE1">
        <w:rPr>
          <w:sz w:val="24"/>
          <w:szCs w:val="24"/>
        </w:rPr>
        <w:t> 000 т. за</w:t>
      </w:r>
      <w:r w:rsidR="00A038D0">
        <w:rPr>
          <w:sz w:val="24"/>
          <w:szCs w:val="24"/>
        </w:rPr>
        <w:t xml:space="preserve"> периода 01.07.201</w:t>
      </w:r>
      <w:r w:rsidR="00F20C9B">
        <w:rPr>
          <w:sz w:val="24"/>
          <w:szCs w:val="24"/>
        </w:rPr>
        <w:t>7</w:t>
      </w:r>
      <w:r w:rsidR="007063B2">
        <w:rPr>
          <w:sz w:val="24"/>
          <w:szCs w:val="24"/>
        </w:rPr>
        <w:t xml:space="preserve"> -</w:t>
      </w:r>
      <w:r w:rsidR="00F20C9B">
        <w:rPr>
          <w:sz w:val="24"/>
          <w:szCs w:val="24"/>
        </w:rPr>
        <w:t xml:space="preserve"> 30.06.2018</w:t>
      </w:r>
      <w:r w:rsidR="007063B2">
        <w:rPr>
          <w:sz w:val="24"/>
          <w:szCs w:val="24"/>
        </w:rPr>
        <w:t xml:space="preserve"> г. </w:t>
      </w:r>
      <w:r w:rsidR="00107EC0">
        <w:rPr>
          <w:sz w:val="24"/>
          <w:szCs w:val="24"/>
        </w:rPr>
        <w:t xml:space="preserve">При определяне на базовата стойност на разходите за въглища, </w:t>
      </w:r>
      <w:r w:rsidR="007063B2">
        <w:rPr>
          <w:sz w:val="24"/>
          <w:szCs w:val="24"/>
        </w:rPr>
        <w:t xml:space="preserve">са взети предвид и </w:t>
      </w:r>
      <w:r w:rsidR="00107EC0">
        <w:rPr>
          <w:sz w:val="24"/>
          <w:szCs w:val="24"/>
        </w:rPr>
        <w:t xml:space="preserve">периодите на доставка. Обичайната </w:t>
      </w:r>
      <w:r w:rsidR="00566474">
        <w:rPr>
          <w:sz w:val="24"/>
          <w:szCs w:val="24"/>
        </w:rPr>
        <w:t xml:space="preserve">търговска </w:t>
      </w:r>
      <w:r w:rsidR="00107EC0">
        <w:rPr>
          <w:sz w:val="24"/>
          <w:szCs w:val="24"/>
        </w:rPr>
        <w:t>практика е свързана с извършване на доставки през есенно зимния период, когато централата е най-натоварена. Доставки</w:t>
      </w:r>
      <w:r w:rsidR="00566474">
        <w:rPr>
          <w:sz w:val="24"/>
          <w:szCs w:val="24"/>
        </w:rPr>
        <w:t>,</w:t>
      </w:r>
      <w:r w:rsidR="00107EC0">
        <w:rPr>
          <w:sz w:val="24"/>
          <w:szCs w:val="24"/>
        </w:rPr>
        <w:t xml:space="preserve"> по правило не се извършват през летните месеци, поради опасност от самозапалване при натрупване на голяма складова наличност</w:t>
      </w:r>
      <w:r w:rsidR="008465CA">
        <w:rPr>
          <w:sz w:val="24"/>
          <w:szCs w:val="24"/>
        </w:rPr>
        <w:t xml:space="preserve">. Също така, за авансово договаряне на </w:t>
      </w:r>
      <w:r w:rsidR="008465CA">
        <w:rPr>
          <w:sz w:val="24"/>
          <w:szCs w:val="24"/>
        </w:rPr>
        <w:lastRenderedPageBreak/>
        <w:t xml:space="preserve">по-изгодни цени през летния сезон е необходимо авансово заплащане на въглищата, а централата не разполага с необходимите средства. </w:t>
      </w:r>
    </w:p>
    <w:p w:rsidR="00FF15B7" w:rsidRDefault="00FF15B7" w:rsidP="00FF15B7">
      <w:pPr>
        <w:ind w:firstLine="567"/>
        <w:jc w:val="both"/>
        <w:rPr>
          <w:sz w:val="24"/>
          <w:szCs w:val="24"/>
        </w:rPr>
      </w:pPr>
      <w:r>
        <w:rPr>
          <w:sz w:val="24"/>
          <w:szCs w:val="24"/>
        </w:rPr>
        <w:t>Предвид изложеното до тук, „Видахим“АД е в състояние да възстанови работата на Завода за гуми и ТЕЦ към него, във възможно най-кратки срокове, използвайки наличната складова наличност от въглища, доставяна през предходни отчетни периоди.</w:t>
      </w:r>
    </w:p>
    <w:p w:rsidR="004E4E8B" w:rsidRPr="00D56347" w:rsidRDefault="002B3D8F" w:rsidP="006C6FF5">
      <w:pPr>
        <w:pStyle w:val="ListParagraph"/>
        <w:numPr>
          <w:ilvl w:val="1"/>
          <w:numId w:val="4"/>
        </w:numPr>
        <w:ind w:left="993" w:hanging="426"/>
        <w:rPr>
          <w:b/>
        </w:rPr>
      </w:pPr>
      <w:r>
        <w:rPr>
          <w:b/>
        </w:rPr>
        <w:t>Производствена програма</w:t>
      </w:r>
    </w:p>
    <w:p w:rsidR="002B3D8F" w:rsidRDefault="002B3D8F" w:rsidP="00194D62">
      <w:pPr>
        <w:spacing w:after="0"/>
        <w:ind w:firstLine="567"/>
        <w:jc w:val="both"/>
        <w:rPr>
          <w:sz w:val="24"/>
          <w:szCs w:val="24"/>
        </w:rPr>
      </w:pPr>
      <w:r w:rsidRPr="002B3D8F">
        <w:rPr>
          <w:sz w:val="24"/>
          <w:szCs w:val="24"/>
        </w:rPr>
        <w:t>Предложената производствена програма е изцяло съобразена с потреблението на</w:t>
      </w:r>
      <w:r>
        <w:rPr>
          <w:sz w:val="24"/>
          <w:szCs w:val="24"/>
        </w:rPr>
        <w:t xml:space="preserve"> топлинна енергия на Видахим АД, в т.ч.:</w:t>
      </w:r>
    </w:p>
    <w:p w:rsidR="002B3D8F" w:rsidRDefault="002B3D8F" w:rsidP="002B3D8F">
      <w:pPr>
        <w:pStyle w:val="ListParagraph"/>
        <w:numPr>
          <w:ilvl w:val="0"/>
          <w:numId w:val="14"/>
        </w:numPr>
        <w:spacing w:after="0"/>
        <w:jc w:val="both"/>
        <w:rPr>
          <w:sz w:val="24"/>
          <w:szCs w:val="24"/>
        </w:rPr>
      </w:pPr>
      <w:r>
        <w:rPr>
          <w:sz w:val="24"/>
          <w:szCs w:val="24"/>
        </w:rPr>
        <w:t>За работата на Оранжерийния комплекс;</w:t>
      </w:r>
    </w:p>
    <w:p w:rsidR="002B3D8F" w:rsidRDefault="002B3D8F" w:rsidP="002B3D8F">
      <w:pPr>
        <w:pStyle w:val="ListParagraph"/>
        <w:numPr>
          <w:ilvl w:val="0"/>
          <w:numId w:val="14"/>
        </w:numPr>
        <w:spacing w:after="0"/>
        <w:jc w:val="both"/>
        <w:rPr>
          <w:sz w:val="24"/>
          <w:szCs w:val="24"/>
        </w:rPr>
      </w:pPr>
      <w:r>
        <w:rPr>
          <w:sz w:val="24"/>
          <w:szCs w:val="24"/>
        </w:rPr>
        <w:t>За работата на Завода за гуми;</w:t>
      </w:r>
    </w:p>
    <w:p w:rsidR="002B3D8F" w:rsidRPr="002B3D8F" w:rsidRDefault="002B3D8F" w:rsidP="002B3D8F">
      <w:pPr>
        <w:pStyle w:val="ListParagraph"/>
        <w:numPr>
          <w:ilvl w:val="0"/>
          <w:numId w:val="14"/>
        </w:numPr>
        <w:spacing w:after="0"/>
        <w:jc w:val="both"/>
        <w:rPr>
          <w:sz w:val="24"/>
          <w:szCs w:val="24"/>
        </w:rPr>
      </w:pPr>
      <w:r>
        <w:rPr>
          <w:sz w:val="24"/>
          <w:szCs w:val="24"/>
        </w:rPr>
        <w:t xml:space="preserve">С доставката на топлинна енергия на клиенти, в близост до централата. </w:t>
      </w:r>
    </w:p>
    <w:p w:rsidR="002B3D8F" w:rsidRDefault="002B3D8F" w:rsidP="00194D62">
      <w:pPr>
        <w:spacing w:after="0"/>
        <w:ind w:firstLine="567"/>
        <w:jc w:val="both"/>
        <w:rPr>
          <w:sz w:val="24"/>
          <w:szCs w:val="24"/>
        </w:rPr>
      </w:pPr>
      <w:r>
        <w:rPr>
          <w:sz w:val="24"/>
          <w:szCs w:val="24"/>
        </w:rPr>
        <w:t>В производствената програма в периода 01.07.2017 – 30.06.2018 г. са включени:</w:t>
      </w:r>
    </w:p>
    <w:p w:rsidR="00587F37" w:rsidRDefault="00587F37" w:rsidP="002B3D8F">
      <w:pPr>
        <w:pStyle w:val="ListParagraph"/>
        <w:numPr>
          <w:ilvl w:val="0"/>
          <w:numId w:val="14"/>
        </w:numPr>
        <w:spacing w:after="0"/>
        <w:jc w:val="both"/>
        <w:rPr>
          <w:sz w:val="24"/>
          <w:szCs w:val="24"/>
        </w:rPr>
      </w:pPr>
      <w:r>
        <w:rPr>
          <w:sz w:val="24"/>
          <w:szCs w:val="24"/>
        </w:rPr>
        <w:t>Топлинна енергия, с топлоносител водна пара – 649 800 МВтч;</w:t>
      </w:r>
    </w:p>
    <w:p w:rsidR="002B3D8F" w:rsidRDefault="00587F37" w:rsidP="002B3D8F">
      <w:pPr>
        <w:pStyle w:val="ListParagraph"/>
        <w:numPr>
          <w:ilvl w:val="0"/>
          <w:numId w:val="14"/>
        </w:numPr>
        <w:spacing w:after="0"/>
        <w:jc w:val="both"/>
        <w:rPr>
          <w:sz w:val="24"/>
          <w:szCs w:val="24"/>
        </w:rPr>
      </w:pPr>
      <w:r>
        <w:rPr>
          <w:sz w:val="24"/>
          <w:szCs w:val="24"/>
        </w:rPr>
        <w:t xml:space="preserve">Високоефективна комбинирана електрическа енергия, в. т.ч. и собственото потребление – </w:t>
      </w:r>
      <w:r w:rsidR="006609B8">
        <w:rPr>
          <w:sz w:val="24"/>
          <w:szCs w:val="24"/>
        </w:rPr>
        <w:t>160 310</w:t>
      </w:r>
      <w:r>
        <w:rPr>
          <w:sz w:val="24"/>
          <w:szCs w:val="24"/>
        </w:rPr>
        <w:t xml:space="preserve"> МВтч;</w:t>
      </w:r>
    </w:p>
    <w:p w:rsidR="00587F37" w:rsidRDefault="00587F37" w:rsidP="002B3D8F">
      <w:pPr>
        <w:pStyle w:val="ListParagraph"/>
        <w:numPr>
          <w:ilvl w:val="0"/>
          <w:numId w:val="14"/>
        </w:numPr>
        <w:spacing w:after="0"/>
        <w:jc w:val="both"/>
        <w:rPr>
          <w:sz w:val="24"/>
          <w:szCs w:val="24"/>
        </w:rPr>
      </w:pPr>
      <w:r>
        <w:rPr>
          <w:sz w:val="24"/>
          <w:szCs w:val="24"/>
        </w:rPr>
        <w:t xml:space="preserve">Високоефективна комбинирана енергия към Обществения доставчик – </w:t>
      </w:r>
      <w:r w:rsidR="006609B8">
        <w:rPr>
          <w:sz w:val="24"/>
          <w:szCs w:val="24"/>
        </w:rPr>
        <w:t>155 580</w:t>
      </w:r>
      <w:r>
        <w:rPr>
          <w:sz w:val="24"/>
          <w:szCs w:val="24"/>
        </w:rPr>
        <w:t xml:space="preserve"> МВтч;</w:t>
      </w:r>
    </w:p>
    <w:p w:rsidR="007B2979" w:rsidRDefault="007B2979" w:rsidP="00587F37">
      <w:pPr>
        <w:spacing w:after="0"/>
        <w:ind w:firstLine="567"/>
        <w:jc w:val="both"/>
        <w:rPr>
          <w:sz w:val="24"/>
          <w:szCs w:val="24"/>
        </w:rPr>
      </w:pPr>
    </w:p>
    <w:p w:rsidR="00587F37" w:rsidRPr="00587F37" w:rsidRDefault="00587F37" w:rsidP="00587F37">
      <w:pPr>
        <w:spacing w:after="0"/>
        <w:ind w:firstLine="567"/>
        <w:jc w:val="both"/>
        <w:rPr>
          <w:sz w:val="24"/>
          <w:szCs w:val="24"/>
        </w:rPr>
      </w:pPr>
      <w:r>
        <w:rPr>
          <w:sz w:val="24"/>
          <w:szCs w:val="24"/>
        </w:rPr>
        <w:t>При разработване на производствената програма за новия регулаторен период</w:t>
      </w:r>
      <w:r w:rsidRPr="00587F37">
        <w:rPr>
          <w:sz w:val="24"/>
          <w:szCs w:val="24"/>
        </w:rPr>
        <w:t xml:space="preserve">, нашите усилия са насочени към </w:t>
      </w:r>
      <w:r>
        <w:rPr>
          <w:sz w:val="24"/>
          <w:szCs w:val="24"/>
        </w:rPr>
        <w:t>предоставяне на обективна</w:t>
      </w:r>
      <w:r w:rsidR="000247AE">
        <w:rPr>
          <w:sz w:val="24"/>
          <w:szCs w:val="24"/>
        </w:rPr>
        <w:t xml:space="preserve"> информация</w:t>
      </w:r>
      <w:r>
        <w:rPr>
          <w:sz w:val="24"/>
          <w:szCs w:val="24"/>
        </w:rPr>
        <w:t xml:space="preserve"> и технико-икономически обвързани ценообразуващи елементи</w:t>
      </w:r>
      <w:r w:rsidRPr="00587F37">
        <w:rPr>
          <w:sz w:val="24"/>
          <w:szCs w:val="24"/>
        </w:rPr>
        <w:t xml:space="preserve">, </w:t>
      </w:r>
      <w:r>
        <w:rPr>
          <w:sz w:val="24"/>
          <w:szCs w:val="24"/>
        </w:rPr>
        <w:t>въз основа на плана за развитие на оранжерийното производство, сключените договори за доставка на топлинна енергия с клиенти в близост до централата и сключените договори за производство на завода за гуми.</w:t>
      </w:r>
    </w:p>
    <w:p w:rsidR="00194D62" w:rsidRPr="00194D62" w:rsidRDefault="00194D62" w:rsidP="00194D62">
      <w:pPr>
        <w:spacing w:after="0"/>
        <w:ind w:firstLine="567"/>
        <w:jc w:val="both"/>
        <w:rPr>
          <w:b/>
          <w:sz w:val="24"/>
          <w:szCs w:val="24"/>
        </w:rPr>
      </w:pPr>
      <w:r w:rsidRPr="00194D62">
        <w:rPr>
          <w:sz w:val="24"/>
          <w:szCs w:val="24"/>
        </w:rPr>
        <w:t xml:space="preserve">„Видахим“ АД е в състояние да изпълни ангажиментите си, във връзка с последващото сертифициране на високоефективната комбинирана енергия, така че да </w:t>
      </w:r>
      <w:r w:rsidRPr="00194D62">
        <w:rPr>
          <w:b/>
          <w:sz w:val="24"/>
          <w:szCs w:val="24"/>
        </w:rPr>
        <w:t>може по безспорен начин да се докаже произхода на електрическата енергия, както и че са изпълнени критериите за високо ефективно комбинирано производство.</w:t>
      </w:r>
    </w:p>
    <w:p w:rsidR="001940F3" w:rsidRPr="00444FB0" w:rsidRDefault="001940F3" w:rsidP="006C6FF5">
      <w:pPr>
        <w:spacing w:after="0"/>
        <w:ind w:firstLine="567"/>
        <w:jc w:val="both"/>
        <w:rPr>
          <w:sz w:val="24"/>
          <w:szCs w:val="24"/>
          <w:lang w:val="en-US"/>
        </w:rPr>
      </w:pPr>
    </w:p>
    <w:p w:rsidR="00C3042E" w:rsidRPr="00C7665D" w:rsidRDefault="00136DBF" w:rsidP="00C7665D">
      <w:pPr>
        <w:pStyle w:val="ListParagraph"/>
        <w:numPr>
          <w:ilvl w:val="0"/>
          <w:numId w:val="4"/>
        </w:numPr>
        <w:tabs>
          <w:tab w:val="left" w:pos="993"/>
        </w:tabs>
        <w:ind w:hanging="153"/>
        <w:rPr>
          <w:b/>
        </w:rPr>
      </w:pPr>
      <w:r>
        <w:rPr>
          <w:b/>
        </w:rPr>
        <w:t>Условно-постоянни разходи</w:t>
      </w:r>
    </w:p>
    <w:p w:rsidR="00634B03" w:rsidRDefault="00634B03" w:rsidP="00634B03">
      <w:pPr>
        <w:pStyle w:val="ListParagraph"/>
        <w:rPr>
          <w:b/>
          <w:lang w:val="en-US"/>
        </w:rPr>
      </w:pPr>
    </w:p>
    <w:p w:rsidR="00634B03" w:rsidRPr="00945B55" w:rsidRDefault="000B0B80" w:rsidP="006C6FF5">
      <w:pPr>
        <w:pStyle w:val="ListParagraph"/>
        <w:ind w:left="0" w:firstLine="567"/>
        <w:jc w:val="both"/>
        <w:rPr>
          <w:sz w:val="24"/>
          <w:szCs w:val="24"/>
        </w:rPr>
      </w:pPr>
      <w:r w:rsidRPr="00945B55">
        <w:rPr>
          <w:sz w:val="24"/>
          <w:szCs w:val="24"/>
        </w:rPr>
        <w:t>Общата стойност на планираните у</w:t>
      </w:r>
      <w:r w:rsidR="00945B55" w:rsidRPr="00945B55">
        <w:rPr>
          <w:sz w:val="24"/>
          <w:szCs w:val="24"/>
        </w:rPr>
        <w:t>словно – постоянни</w:t>
      </w:r>
      <w:r w:rsidR="00634B03" w:rsidRPr="00945B55">
        <w:rPr>
          <w:sz w:val="24"/>
          <w:szCs w:val="24"/>
        </w:rPr>
        <w:t xml:space="preserve"> разходи </w:t>
      </w:r>
      <w:r w:rsidR="00945B55" w:rsidRPr="00945B55">
        <w:rPr>
          <w:sz w:val="24"/>
          <w:szCs w:val="24"/>
        </w:rPr>
        <w:t xml:space="preserve">за новия ценови период е </w:t>
      </w:r>
      <w:r w:rsidR="00FF6D1A" w:rsidRPr="00FF6D1A">
        <w:rPr>
          <w:b/>
          <w:sz w:val="24"/>
          <w:szCs w:val="24"/>
        </w:rPr>
        <w:t>16 899</w:t>
      </w:r>
      <w:r w:rsidR="00AB2659" w:rsidRPr="00FF6D1A">
        <w:rPr>
          <w:b/>
          <w:sz w:val="24"/>
          <w:szCs w:val="24"/>
        </w:rPr>
        <w:t xml:space="preserve"> </w:t>
      </w:r>
      <w:r w:rsidRPr="00FF6D1A">
        <w:rPr>
          <w:b/>
          <w:sz w:val="24"/>
          <w:szCs w:val="24"/>
        </w:rPr>
        <w:t>хил.лв</w:t>
      </w:r>
      <w:r w:rsidRPr="00945B55">
        <w:rPr>
          <w:sz w:val="24"/>
          <w:szCs w:val="24"/>
        </w:rPr>
        <w:t>.</w:t>
      </w:r>
      <w:r w:rsidR="00945B55">
        <w:rPr>
          <w:sz w:val="24"/>
          <w:szCs w:val="24"/>
        </w:rPr>
        <w:t>, като разходите са съобразени с минималните нужди от персонал за изпълнение на производствената програма. Разходите пряко свързани с дейността по лицензията – горива, работно облекло и др. също са оптимизирани, като прогнозираните нива са в съответствие със действащата нормативна база.</w:t>
      </w:r>
    </w:p>
    <w:p w:rsidR="00634B03" w:rsidRPr="0096566D" w:rsidRDefault="00634B03" w:rsidP="00634B03">
      <w:pPr>
        <w:pStyle w:val="ListParagraph"/>
        <w:rPr>
          <w:b/>
          <w:sz w:val="24"/>
          <w:szCs w:val="24"/>
        </w:rPr>
      </w:pPr>
    </w:p>
    <w:p w:rsidR="00C3042E" w:rsidRDefault="00FF6D1A" w:rsidP="006C6FF5">
      <w:pPr>
        <w:pStyle w:val="ListParagraph"/>
        <w:numPr>
          <w:ilvl w:val="1"/>
          <w:numId w:val="4"/>
        </w:numPr>
        <w:tabs>
          <w:tab w:val="left" w:pos="993"/>
        </w:tabs>
        <w:ind w:left="0" w:firstLine="567"/>
        <w:rPr>
          <w:b/>
        </w:rPr>
      </w:pPr>
      <w:r>
        <w:rPr>
          <w:b/>
        </w:rPr>
        <w:t>Разходи за заплати и осигуровки на персонала</w:t>
      </w:r>
    </w:p>
    <w:p w:rsidR="00C3042E" w:rsidRDefault="00C3042E" w:rsidP="00634B03">
      <w:pPr>
        <w:pStyle w:val="ListParagraph"/>
        <w:ind w:left="0"/>
      </w:pPr>
    </w:p>
    <w:p w:rsidR="00FF6D1A" w:rsidRDefault="000B7B0E" w:rsidP="006C6FF5">
      <w:pPr>
        <w:pStyle w:val="ListParagraph"/>
        <w:ind w:left="0" w:firstLine="567"/>
        <w:jc w:val="both"/>
        <w:rPr>
          <w:sz w:val="24"/>
          <w:szCs w:val="24"/>
        </w:rPr>
      </w:pPr>
      <w:r>
        <w:rPr>
          <w:sz w:val="24"/>
          <w:szCs w:val="24"/>
        </w:rPr>
        <w:lastRenderedPageBreak/>
        <w:t xml:space="preserve">Прогнозните разходи за възнаграждения </w:t>
      </w:r>
      <w:r w:rsidR="00FF6D1A">
        <w:rPr>
          <w:sz w:val="24"/>
          <w:szCs w:val="24"/>
        </w:rPr>
        <w:t xml:space="preserve">в Справка № 1 „Разходи за производстно“ </w:t>
      </w:r>
      <w:r>
        <w:rPr>
          <w:sz w:val="24"/>
          <w:szCs w:val="24"/>
        </w:rPr>
        <w:t xml:space="preserve">през новия ценови период възлизат на   </w:t>
      </w:r>
      <w:r w:rsidR="00FF6D1A">
        <w:rPr>
          <w:sz w:val="24"/>
          <w:szCs w:val="24"/>
        </w:rPr>
        <w:t>4 538</w:t>
      </w:r>
      <w:r w:rsidR="00AB2659" w:rsidRPr="00187A35">
        <w:rPr>
          <w:sz w:val="24"/>
          <w:szCs w:val="24"/>
        </w:rPr>
        <w:t xml:space="preserve"> </w:t>
      </w:r>
      <w:r>
        <w:rPr>
          <w:sz w:val="24"/>
          <w:szCs w:val="24"/>
        </w:rPr>
        <w:t>хил.лв.</w:t>
      </w:r>
      <w:r w:rsidR="00945B55">
        <w:rPr>
          <w:sz w:val="24"/>
          <w:szCs w:val="24"/>
        </w:rPr>
        <w:t xml:space="preserve">, </w:t>
      </w:r>
      <w:r w:rsidR="00FF6D1A">
        <w:rPr>
          <w:sz w:val="24"/>
          <w:szCs w:val="24"/>
        </w:rPr>
        <w:t>като тук са включени всички разходи за персонал относими към лицензионната дейност</w:t>
      </w:r>
      <w:r w:rsidR="00945B55">
        <w:rPr>
          <w:sz w:val="24"/>
          <w:szCs w:val="24"/>
        </w:rPr>
        <w:t>.</w:t>
      </w:r>
      <w:r w:rsidR="00FF6D1A">
        <w:rPr>
          <w:sz w:val="24"/>
          <w:szCs w:val="24"/>
        </w:rPr>
        <w:t xml:space="preserve"> </w:t>
      </w:r>
      <w:r w:rsidR="00BD3F58">
        <w:rPr>
          <w:sz w:val="24"/>
          <w:szCs w:val="24"/>
        </w:rPr>
        <w:t xml:space="preserve"> </w:t>
      </w:r>
      <w:r w:rsidR="00FF6D1A">
        <w:rPr>
          <w:sz w:val="24"/>
          <w:szCs w:val="24"/>
        </w:rPr>
        <w:t xml:space="preserve">През 2016 г. Видахим АД не е извършвала лицензионна дейност, поради което за същия период дружеството поддържа минимален брой оперативен технически и административен персонал. Като отчетни данни за 2016 г. са посочени 551 хил.лв. разходи за възнаграждения на персонала, които не би следвало да се използват за целите на сравнителен анализ по групи разходи и не могат да бъдат използвани за база при определяне на необходимите приходи за новия ценови период. </w:t>
      </w:r>
    </w:p>
    <w:p w:rsidR="00634B03" w:rsidRPr="0096566D" w:rsidRDefault="00BD3F58" w:rsidP="006C6FF5">
      <w:pPr>
        <w:pStyle w:val="ListParagraph"/>
        <w:ind w:left="0" w:firstLine="567"/>
        <w:jc w:val="both"/>
        <w:rPr>
          <w:sz w:val="24"/>
          <w:szCs w:val="24"/>
        </w:rPr>
      </w:pPr>
      <w:r>
        <w:rPr>
          <w:sz w:val="24"/>
          <w:szCs w:val="24"/>
        </w:rPr>
        <w:t>Планираните разходи за социални осигуровки през новия ценови период възлизат на 8</w:t>
      </w:r>
      <w:r w:rsidR="00FF6D1A">
        <w:rPr>
          <w:sz w:val="24"/>
          <w:szCs w:val="24"/>
        </w:rPr>
        <w:t>48</w:t>
      </w:r>
      <w:r>
        <w:rPr>
          <w:sz w:val="24"/>
          <w:szCs w:val="24"/>
        </w:rPr>
        <w:t xml:space="preserve"> хил.лв., като тази стойност е съобразена с разпоредбите на осигурителния кодекс</w:t>
      </w:r>
      <w:r w:rsidR="000B7B0E">
        <w:rPr>
          <w:sz w:val="24"/>
          <w:szCs w:val="24"/>
        </w:rPr>
        <w:t xml:space="preserve">. </w:t>
      </w:r>
    </w:p>
    <w:p w:rsidR="00634B03" w:rsidRDefault="00634B03" w:rsidP="00634B03">
      <w:pPr>
        <w:pStyle w:val="ListParagraph"/>
        <w:ind w:left="0"/>
      </w:pPr>
    </w:p>
    <w:p w:rsidR="00C3042E" w:rsidRDefault="00FF6D1A" w:rsidP="006C6FF5">
      <w:pPr>
        <w:pStyle w:val="ListParagraph"/>
        <w:numPr>
          <w:ilvl w:val="1"/>
          <w:numId w:val="4"/>
        </w:numPr>
        <w:ind w:left="993" w:hanging="426"/>
        <w:rPr>
          <w:b/>
        </w:rPr>
      </w:pPr>
      <w:r>
        <w:rPr>
          <w:b/>
        </w:rPr>
        <w:t>Разходи за амортизации</w:t>
      </w:r>
    </w:p>
    <w:p w:rsidR="00C3042E" w:rsidRPr="00C3042E" w:rsidRDefault="00C3042E" w:rsidP="00634B03">
      <w:pPr>
        <w:pStyle w:val="ListParagraph"/>
        <w:ind w:left="0"/>
        <w:rPr>
          <w:b/>
        </w:rPr>
      </w:pPr>
    </w:p>
    <w:p w:rsidR="00BD3F58" w:rsidRPr="00FD7258" w:rsidRDefault="00BD3F58" w:rsidP="00C82964">
      <w:pPr>
        <w:pStyle w:val="ListParagraph"/>
        <w:ind w:left="0" w:firstLine="567"/>
        <w:jc w:val="both"/>
        <w:rPr>
          <w:sz w:val="24"/>
          <w:szCs w:val="24"/>
        </w:rPr>
      </w:pPr>
      <w:r>
        <w:rPr>
          <w:sz w:val="24"/>
          <w:szCs w:val="24"/>
        </w:rPr>
        <w:t>Планира</w:t>
      </w:r>
      <w:r w:rsidR="00F643D6">
        <w:rPr>
          <w:sz w:val="24"/>
          <w:szCs w:val="24"/>
        </w:rPr>
        <w:t>ните разходи за амортизации са 4 994 хил.лв.</w:t>
      </w:r>
      <w:r>
        <w:rPr>
          <w:sz w:val="24"/>
          <w:szCs w:val="24"/>
        </w:rPr>
        <w:t xml:space="preserve"> </w:t>
      </w:r>
      <w:r w:rsidR="00C82964" w:rsidRPr="00FD7258">
        <w:rPr>
          <w:sz w:val="24"/>
          <w:szCs w:val="24"/>
        </w:rPr>
        <w:t xml:space="preserve">Съгласно Закона за счетоводството, амортизациите се начисляват като разход, само при </w:t>
      </w:r>
      <w:r w:rsidR="00F643D6">
        <w:rPr>
          <w:sz w:val="24"/>
          <w:szCs w:val="24"/>
        </w:rPr>
        <w:t xml:space="preserve">ефективна </w:t>
      </w:r>
      <w:r w:rsidR="00C82964" w:rsidRPr="00FD7258">
        <w:rPr>
          <w:sz w:val="24"/>
          <w:szCs w:val="24"/>
        </w:rPr>
        <w:t>работа на активите.</w:t>
      </w:r>
      <w:r w:rsidR="00F643D6">
        <w:rPr>
          <w:sz w:val="24"/>
          <w:szCs w:val="24"/>
        </w:rPr>
        <w:t xml:space="preserve"> Поради тази причина разходи за амортизации за 2016 г. не са начислени.</w:t>
      </w:r>
    </w:p>
    <w:p w:rsidR="00C3042E" w:rsidRDefault="000B7B0E" w:rsidP="006C6FF5">
      <w:pPr>
        <w:pStyle w:val="ListParagraph"/>
        <w:ind w:left="0" w:firstLine="567"/>
        <w:jc w:val="both"/>
        <w:rPr>
          <w:sz w:val="24"/>
          <w:szCs w:val="24"/>
        </w:rPr>
      </w:pPr>
      <w:r>
        <w:rPr>
          <w:sz w:val="24"/>
          <w:szCs w:val="24"/>
        </w:rPr>
        <w:t>Амортизационната политика на дружеството включва прилагането на линеен метод за амортизации, а амортизационния срок на активите е с</w:t>
      </w:r>
      <w:r w:rsidR="00EE3D55">
        <w:rPr>
          <w:sz w:val="24"/>
          <w:szCs w:val="24"/>
        </w:rPr>
        <w:t>ъобразен с техния полезен живот, както следва:</w:t>
      </w:r>
    </w:p>
    <w:tbl>
      <w:tblPr>
        <w:tblW w:w="4554" w:type="pct"/>
        <w:tblInd w:w="708" w:type="dxa"/>
        <w:tblCellMar>
          <w:left w:w="0" w:type="dxa"/>
          <w:right w:w="0" w:type="dxa"/>
        </w:tblCellMar>
        <w:tblLook w:val="0000" w:firstRow="0" w:lastRow="0" w:firstColumn="0" w:lastColumn="0" w:noHBand="0" w:noVBand="0"/>
      </w:tblPr>
      <w:tblGrid>
        <w:gridCol w:w="6174"/>
        <w:gridCol w:w="2089"/>
      </w:tblGrid>
      <w:tr w:rsidR="00EE3D55" w:rsidRPr="00BD3F58" w:rsidTr="001B203F">
        <w:trPr>
          <w:trHeight w:hRule="exact" w:val="284"/>
        </w:trPr>
        <w:tc>
          <w:tcPr>
            <w:tcW w:w="3736" w:type="pct"/>
            <w:vAlign w:val="bottom"/>
          </w:tcPr>
          <w:p w:rsidR="00BD3F58" w:rsidRPr="00FD7258" w:rsidRDefault="00BD3F58" w:rsidP="00BD3F58">
            <w:pPr>
              <w:snapToGrid w:val="0"/>
              <w:spacing w:after="0" w:line="240" w:lineRule="auto"/>
              <w:jc w:val="both"/>
              <w:rPr>
                <w:rFonts w:eastAsia="Times New Roman" w:cs="Times New Roman"/>
                <w:sz w:val="24"/>
                <w:szCs w:val="24"/>
                <w:shd w:val="clear" w:color="auto" w:fill="FFFFFF"/>
              </w:rPr>
            </w:pPr>
            <w:r w:rsidRPr="00FD7258">
              <w:rPr>
                <w:rFonts w:eastAsia="Times New Roman" w:cs="Times New Roman"/>
                <w:sz w:val="24"/>
                <w:szCs w:val="24"/>
                <w:shd w:val="clear" w:color="auto" w:fill="FFFFFF"/>
              </w:rPr>
              <w:t>Сгради</w:t>
            </w:r>
          </w:p>
        </w:tc>
        <w:tc>
          <w:tcPr>
            <w:tcW w:w="1264" w:type="pct"/>
            <w:vAlign w:val="bottom"/>
          </w:tcPr>
          <w:p w:rsidR="00BD3F58" w:rsidRPr="00FD7258" w:rsidRDefault="00BD3F58" w:rsidP="00BD3F58">
            <w:pPr>
              <w:snapToGrid w:val="0"/>
              <w:spacing w:after="0" w:line="240" w:lineRule="auto"/>
              <w:ind w:right="165"/>
              <w:jc w:val="right"/>
              <w:rPr>
                <w:rFonts w:eastAsia="Times New Roman" w:cs="Times New Roman"/>
                <w:b/>
                <w:bCs/>
                <w:sz w:val="24"/>
                <w:szCs w:val="24"/>
                <w:shd w:val="clear" w:color="auto" w:fill="FFFFFF"/>
                <w:lang w:eastAsia="bg-BG"/>
              </w:rPr>
            </w:pPr>
            <w:r w:rsidRPr="00FD7258">
              <w:rPr>
                <w:rFonts w:eastAsia="Times New Roman" w:cs="Times New Roman"/>
                <w:sz w:val="24"/>
                <w:szCs w:val="24"/>
                <w:shd w:val="clear" w:color="auto" w:fill="FFFFFF"/>
                <w:lang w:eastAsia="bg-BG"/>
              </w:rPr>
              <w:t>25 години</w:t>
            </w:r>
          </w:p>
        </w:tc>
      </w:tr>
      <w:tr w:rsidR="00EE3D55" w:rsidRPr="00BD3F58" w:rsidTr="001B203F">
        <w:trPr>
          <w:trHeight w:hRule="exact" w:val="284"/>
        </w:trPr>
        <w:tc>
          <w:tcPr>
            <w:tcW w:w="3736" w:type="pct"/>
            <w:vAlign w:val="bottom"/>
          </w:tcPr>
          <w:p w:rsidR="00BD3F58" w:rsidRPr="00FD7258" w:rsidRDefault="00BD3F58" w:rsidP="00BD3F58">
            <w:pPr>
              <w:snapToGrid w:val="0"/>
              <w:spacing w:after="0" w:line="240" w:lineRule="auto"/>
              <w:rPr>
                <w:rFonts w:eastAsia="Times New Roman" w:cs="Times New Roman"/>
                <w:sz w:val="24"/>
                <w:szCs w:val="24"/>
                <w:shd w:val="clear" w:color="auto" w:fill="FFFFFF"/>
                <w:lang w:eastAsia="bg-BG"/>
              </w:rPr>
            </w:pPr>
            <w:r w:rsidRPr="00FD7258">
              <w:rPr>
                <w:rFonts w:eastAsia="Times New Roman" w:cs="Times New Roman"/>
                <w:sz w:val="24"/>
                <w:szCs w:val="24"/>
                <w:shd w:val="clear" w:color="auto" w:fill="FFFFFF"/>
                <w:lang w:eastAsia="bg-BG"/>
              </w:rPr>
              <w:t>Машини, съоръжения и оборудване</w:t>
            </w:r>
          </w:p>
        </w:tc>
        <w:tc>
          <w:tcPr>
            <w:tcW w:w="1264" w:type="pct"/>
            <w:vAlign w:val="bottom"/>
          </w:tcPr>
          <w:p w:rsidR="00BD3F58" w:rsidRPr="00FD7258" w:rsidRDefault="00C82964" w:rsidP="00BD3F58">
            <w:pPr>
              <w:snapToGrid w:val="0"/>
              <w:spacing w:after="0" w:line="240" w:lineRule="auto"/>
              <w:ind w:right="165"/>
              <w:jc w:val="right"/>
              <w:rPr>
                <w:rFonts w:eastAsia="Times New Roman" w:cs="Times New Roman"/>
                <w:sz w:val="24"/>
                <w:szCs w:val="24"/>
                <w:shd w:val="clear" w:color="auto" w:fill="FFFFFF"/>
                <w:lang w:eastAsia="bg-BG"/>
              </w:rPr>
            </w:pPr>
            <w:r w:rsidRPr="00FD7258">
              <w:rPr>
                <w:rFonts w:eastAsia="Times New Roman" w:cs="Times New Roman"/>
                <w:sz w:val="24"/>
                <w:szCs w:val="24"/>
                <w:shd w:val="clear" w:color="auto" w:fill="FFFFFF"/>
                <w:lang w:eastAsia="bg-BG"/>
              </w:rPr>
              <w:t>14</w:t>
            </w:r>
            <w:r w:rsidR="00BD3F58" w:rsidRPr="00FD7258">
              <w:rPr>
                <w:rFonts w:eastAsia="Times New Roman" w:cs="Times New Roman"/>
                <w:sz w:val="24"/>
                <w:szCs w:val="24"/>
                <w:shd w:val="clear" w:color="auto" w:fill="FFFFFF"/>
                <w:lang w:eastAsia="bg-BG"/>
              </w:rPr>
              <w:t xml:space="preserve"> години</w:t>
            </w:r>
          </w:p>
        </w:tc>
      </w:tr>
      <w:tr w:rsidR="00EE3D55" w:rsidRPr="00BD3F58" w:rsidTr="001B203F">
        <w:trPr>
          <w:trHeight w:hRule="exact" w:val="284"/>
        </w:trPr>
        <w:tc>
          <w:tcPr>
            <w:tcW w:w="3736" w:type="pct"/>
            <w:vAlign w:val="bottom"/>
          </w:tcPr>
          <w:p w:rsidR="00BD3F58" w:rsidRPr="00FD7258" w:rsidRDefault="00BD3F58" w:rsidP="00BD3F58">
            <w:pPr>
              <w:snapToGrid w:val="0"/>
              <w:spacing w:after="0" w:line="240" w:lineRule="auto"/>
              <w:rPr>
                <w:rFonts w:eastAsia="Times New Roman" w:cs="Times New Roman"/>
                <w:sz w:val="24"/>
                <w:szCs w:val="24"/>
                <w:shd w:val="clear" w:color="auto" w:fill="FFFFFF"/>
                <w:lang w:eastAsia="bg-BG"/>
              </w:rPr>
            </w:pPr>
            <w:r w:rsidRPr="00FD7258">
              <w:rPr>
                <w:rFonts w:eastAsia="Times New Roman" w:cs="Times New Roman"/>
                <w:sz w:val="24"/>
                <w:szCs w:val="24"/>
                <w:shd w:val="clear" w:color="auto" w:fill="FFFFFF"/>
                <w:lang w:eastAsia="bg-BG"/>
              </w:rPr>
              <w:t>Транспортни средства</w:t>
            </w:r>
          </w:p>
        </w:tc>
        <w:tc>
          <w:tcPr>
            <w:tcW w:w="1264" w:type="pct"/>
            <w:vAlign w:val="bottom"/>
          </w:tcPr>
          <w:p w:rsidR="00BD3F58" w:rsidRPr="00FD7258" w:rsidRDefault="00C82964" w:rsidP="00BD3F58">
            <w:pPr>
              <w:snapToGrid w:val="0"/>
              <w:spacing w:after="0" w:line="240" w:lineRule="auto"/>
              <w:ind w:right="165"/>
              <w:jc w:val="right"/>
              <w:rPr>
                <w:rFonts w:eastAsia="Times New Roman" w:cs="Times New Roman"/>
                <w:sz w:val="24"/>
                <w:szCs w:val="24"/>
                <w:shd w:val="clear" w:color="auto" w:fill="FFFFFF"/>
                <w:lang w:eastAsia="bg-BG"/>
              </w:rPr>
            </w:pPr>
            <w:r w:rsidRPr="00FD7258">
              <w:rPr>
                <w:rFonts w:eastAsia="Times New Roman" w:cs="Times New Roman"/>
                <w:sz w:val="24"/>
                <w:szCs w:val="24"/>
                <w:shd w:val="clear" w:color="auto" w:fill="FFFFFF"/>
                <w:lang w:eastAsia="bg-BG"/>
              </w:rPr>
              <w:t>7</w:t>
            </w:r>
            <w:r w:rsidR="00BD3F58" w:rsidRPr="00FD7258">
              <w:rPr>
                <w:rFonts w:eastAsia="Times New Roman" w:cs="Times New Roman"/>
                <w:sz w:val="24"/>
                <w:szCs w:val="24"/>
                <w:shd w:val="clear" w:color="auto" w:fill="FFFFFF"/>
                <w:lang w:eastAsia="bg-BG"/>
              </w:rPr>
              <w:t xml:space="preserve"> години</w:t>
            </w:r>
          </w:p>
        </w:tc>
      </w:tr>
      <w:tr w:rsidR="00EE3D55" w:rsidRPr="00BD3F58" w:rsidTr="001B203F">
        <w:trPr>
          <w:trHeight w:hRule="exact" w:val="310"/>
        </w:trPr>
        <w:tc>
          <w:tcPr>
            <w:tcW w:w="3736" w:type="pct"/>
            <w:vAlign w:val="bottom"/>
          </w:tcPr>
          <w:p w:rsidR="00BD3F58" w:rsidRPr="00FD7258" w:rsidRDefault="00BD3F58" w:rsidP="00BD3F58">
            <w:pPr>
              <w:snapToGrid w:val="0"/>
              <w:spacing w:after="0" w:line="240" w:lineRule="auto"/>
              <w:rPr>
                <w:rFonts w:eastAsia="Times New Roman" w:cs="Times New Roman"/>
                <w:sz w:val="24"/>
                <w:szCs w:val="24"/>
                <w:shd w:val="clear" w:color="auto" w:fill="FFFFFF"/>
                <w:lang w:eastAsia="bg-BG"/>
              </w:rPr>
            </w:pPr>
            <w:r w:rsidRPr="00FD7258">
              <w:rPr>
                <w:rFonts w:eastAsia="Times New Roman" w:cs="Times New Roman"/>
                <w:sz w:val="24"/>
                <w:szCs w:val="24"/>
                <w:lang w:eastAsia="bg-BG"/>
              </w:rPr>
              <w:t>Други амортизируеми дълготрайни активи</w:t>
            </w:r>
          </w:p>
        </w:tc>
        <w:tc>
          <w:tcPr>
            <w:tcW w:w="1264" w:type="pct"/>
            <w:vAlign w:val="bottom"/>
          </w:tcPr>
          <w:p w:rsidR="00BD3F58" w:rsidRPr="00FD7258" w:rsidRDefault="00C82964" w:rsidP="00BD3F58">
            <w:pPr>
              <w:snapToGrid w:val="0"/>
              <w:spacing w:after="0" w:line="240" w:lineRule="auto"/>
              <w:ind w:right="165"/>
              <w:jc w:val="right"/>
              <w:rPr>
                <w:rFonts w:eastAsia="Times New Roman" w:cs="Times New Roman"/>
                <w:sz w:val="24"/>
                <w:szCs w:val="24"/>
                <w:shd w:val="clear" w:color="auto" w:fill="FFFFFF"/>
                <w:lang w:eastAsia="bg-BG"/>
              </w:rPr>
            </w:pPr>
            <w:r w:rsidRPr="00FD7258">
              <w:rPr>
                <w:rFonts w:eastAsia="Times New Roman" w:cs="Times New Roman"/>
                <w:sz w:val="24"/>
                <w:szCs w:val="24"/>
                <w:shd w:val="clear" w:color="auto" w:fill="FFFFFF"/>
                <w:lang w:eastAsia="bg-BG"/>
              </w:rPr>
              <w:t>7</w:t>
            </w:r>
            <w:r w:rsidR="00BD3F58" w:rsidRPr="00FD7258">
              <w:rPr>
                <w:rFonts w:eastAsia="Times New Roman" w:cs="Times New Roman"/>
                <w:sz w:val="24"/>
                <w:szCs w:val="24"/>
                <w:shd w:val="clear" w:color="auto" w:fill="FFFFFF"/>
                <w:lang w:eastAsia="bg-BG"/>
              </w:rPr>
              <w:t xml:space="preserve"> години</w:t>
            </w:r>
          </w:p>
        </w:tc>
      </w:tr>
    </w:tbl>
    <w:p w:rsidR="00EE3D55" w:rsidRPr="00BF1009" w:rsidRDefault="00EE3D55" w:rsidP="00634B03">
      <w:pPr>
        <w:pStyle w:val="ListParagraph"/>
        <w:ind w:left="0"/>
      </w:pPr>
    </w:p>
    <w:p w:rsidR="00C3042E" w:rsidRDefault="00F643D6" w:rsidP="006C6FF5">
      <w:pPr>
        <w:pStyle w:val="ListParagraph"/>
        <w:numPr>
          <w:ilvl w:val="1"/>
          <w:numId w:val="4"/>
        </w:numPr>
        <w:tabs>
          <w:tab w:val="left" w:pos="993"/>
        </w:tabs>
        <w:ind w:left="0" w:firstLine="567"/>
        <w:rPr>
          <w:b/>
        </w:rPr>
      </w:pPr>
      <w:r>
        <w:rPr>
          <w:b/>
        </w:rPr>
        <w:t>Разходи за ремонт</w:t>
      </w:r>
    </w:p>
    <w:p w:rsidR="00D8733F" w:rsidRPr="00070DAE" w:rsidRDefault="00D8733F" w:rsidP="006C6FF5">
      <w:pPr>
        <w:spacing w:after="0"/>
        <w:ind w:firstLine="567"/>
        <w:jc w:val="both"/>
        <w:rPr>
          <w:sz w:val="24"/>
          <w:szCs w:val="24"/>
        </w:rPr>
      </w:pPr>
      <w:r w:rsidRPr="00070DAE">
        <w:rPr>
          <w:sz w:val="24"/>
          <w:szCs w:val="24"/>
        </w:rPr>
        <w:t xml:space="preserve">Предвидените средства за ремонт за </w:t>
      </w:r>
      <w:r w:rsidR="00EE3D55">
        <w:rPr>
          <w:sz w:val="24"/>
          <w:szCs w:val="24"/>
        </w:rPr>
        <w:t xml:space="preserve">ценовия </w:t>
      </w:r>
      <w:r w:rsidRPr="00070DAE">
        <w:rPr>
          <w:sz w:val="24"/>
          <w:szCs w:val="24"/>
        </w:rPr>
        <w:t>п</w:t>
      </w:r>
      <w:r w:rsidR="00EE3D55">
        <w:rPr>
          <w:sz w:val="24"/>
          <w:szCs w:val="24"/>
        </w:rPr>
        <w:t>ериод са в размер на 3 </w:t>
      </w:r>
      <w:r w:rsidR="00F643D6">
        <w:rPr>
          <w:sz w:val="24"/>
          <w:szCs w:val="24"/>
        </w:rPr>
        <w:t>906</w:t>
      </w:r>
      <w:r w:rsidRPr="00070DAE">
        <w:rPr>
          <w:sz w:val="24"/>
          <w:szCs w:val="24"/>
        </w:rPr>
        <w:t xml:space="preserve"> хил.лв.</w:t>
      </w:r>
      <w:r w:rsidR="00F643D6">
        <w:rPr>
          <w:sz w:val="24"/>
          <w:szCs w:val="24"/>
        </w:rPr>
        <w:t xml:space="preserve"> и са изчислени на база предварителна оценка за стойността на ремонтните дейности, свързани с пускане в експлоатация на машините и съоръженията на ТЕЦ Видин. През 2016 г. ремонти не са извършвани.</w:t>
      </w:r>
      <w:r w:rsidRPr="00070DAE">
        <w:rPr>
          <w:sz w:val="24"/>
          <w:szCs w:val="24"/>
        </w:rPr>
        <w:t xml:space="preserve"> </w:t>
      </w:r>
      <w:r w:rsidR="00F643D6">
        <w:rPr>
          <w:sz w:val="24"/>
          <w:szCs w:val="24"/>
        </w:rPr>
        <w:t>В стойността на ремонтната програма са предвидени и разходи за текущи ремонтни дейности, необходими за поддържане на техническата изправност на централата по време на експлоатация.</w:t>
      </w:r>
    </w:p>
    <w:p w:rsidR="00D8733F" w:rsidRPr="00070DAE" w:rsidRDefault="00D8733F" w:rsidP="006C6FF5">
      <w:pPr>
        <w:spacing w:after="0"/>
        <w:ind w:firstLine="567"/>
        <w:jc w:val="both"/>
        <w:rPr>
          <w:sz w:val="24"/>
          <w:szCs w:val="24"/>
        </w:rPr>
      </w:pPr>
      <w:r w:rsidRPr="00070DAE">
        <w:rPr>
          <w:sz w:val="24"/>
          <w:szCs w:val="24"/>
        </w:rPr>
        <w:t>Периодичността на тези ремонти зависи от специфичните условия за работа, от начина на експлоатация, от вида</w:t>
      </w:r>
      <w:r w:rsidR="0096566D">
        <w:rPr>
          <w:sz w:val="24"/>
          <w:szCs w:val="24"/>
        </w:rPr>
        <w:t xml:space="preserve"> на флуидите, тяхната  темпера</w:t>
      </w:r>
      <w:r w:rsidRPr="00070DAE">
        <w:rPr>
          <w:sz w:val="24"/>
          <w:szCs w:val="24"/>
        </w:rPr>
        <w:t>тура и налягане, от механичното и топлинно натоварване и т.н., а на основните съоръжения междуремонтния пробег</w:t>
      </w:r>
      <w:r w:rsidR="0096566D">
        <w:rPr>
          <w:sz w:val="24"/>
          <w:szCs w:val="24"/>
        </w:rPr>
        <w:t xml:space="preserve"> се определя от завода произво</w:t>
      </w:r>
      <w:r w:rsidRPr="00070DAE">
        <w:rPr>
          <w:sz w:val="24"/>
          <w:szCs w:val="24"/>
        </w:rPr>
        <w:t>дител.</w:t>
      </w:r>
    </w:p>
    <w:p w:rsidR="00D8733F" w:rsidRPr="00070DAE" w:rsidRDefault="00D8733F" w:rsidP="006C6FF5">
      <w:pPr>
        <w:spacing w:after="0"/>
        <w:ind w:firstLine="567"/>
        <w:jc w:val="both"/>
        <w:rPr>
          <w:sz w:val="24"/>
          <w:szCs w:val="24"/>
        </w:rPr>
      </w:pPr>
      <w:r w:rsidRPr="00070DAE">
        <w:rPr>
          <w:sz w:val="24"/>
          <w:szCs w:val="24"/>
        </w:rPr>
        <w:t>Въз основа на междуремонтния пробег н</w:t>
      </w:r>
      <w:r w:rsidR="000B7B0E">
        <w:rPr>
          <w:sz w:val="24"/>
          <w:szCs w:val="24"/>
        </w:rPr>
        <w:t>а отделните  съоръжения, дейст</w:t>
      </w:r>
      <w:r w:rsidRPr="00070DAE">
        <w:rPr>
          <w:sz w:val="24"/>
          <w:szCs w:val="24"/>
        </w:rPr>
        <w:t>ващите Наредби и Инструкции за ремонт и  срока за изчерпване на експлоатационния ресурс на метала е изготвена Ремонтна</w:t>
      </w:r>
      <w:r w:rsidR="00EE3D55">
        <w:rPr>
          <w:sz w:val="24"/>
          <w:szCs w:val="24"/>
        </w:rPr>
        <w:t>та програма за периода 201</w:t>
      </w:r>
      <w:r w:rsidR="00F643D6">
        <w:rPr>
          <w:sz w:val="24"/>
          <w:szCs w:val="24"/>
        </w:rPr>
        <w:t>7</w:t>
      </w:r>
      <w:r w:rsidR="000247AE">
        <w:rPr>
          <w:sz w:val="24"/>
          <w:szCs w:val="24"/>
        </w:rPr>
        <w:t>-2018</w:t>
      </w:r>
      <w:r w:rsidR="00EE3D55">
        <w:rPr>
          <w:sz w:val="24"/>
          <w:szCs w:val="24"/>
        </w:rPr>
        <w:t xml:space="preserve"> </w:t>
      </w:r>
      <w:r w:rsidRPr="00070DAE">
        <w:rPr>
          <w:sz w:val="24"/>
          <w:szCs w:val="24"/>
        </w:rPr>
        <w:t>г.</w:t>
      </w:r>
    </w:p>
    <w:p w:rsidR="00D8733F" w:rsidRPr="00070DAE" w:rsidRDefault="00D8733F" w:rsidP="006C6FF5">
      <w:pPr>
        <w:spacing w:after="0"/>
        <w:ind w:firstLine="567"/>
        <w:jc w:val="both"/>
        <w:rPr>
          <w:sz w:val="24"/>
          <w:szCs w:val="24"/>
        </w:rPr>
      </w:pPr>
      <w:r w:rsidRPr="00070DAE">
        <w:rPr>
          <w:sz w:val="24"/>
          <w:szCs w:val="24"/>
        </w:rPr>
        <w:lastRenderedPageBreak/>
        <w:t>Основните цели, които се предвижда да се решат с изпълнението на тази програма са:</w:t>
      </w:r>
    </w:p>
    <w:p w:rsidR="00D8733F" w:rsidRPr="00070DAE" w:rsidRDefault="00D8733F" w:rsidP="00D43D03">
      <w:pPr>
        <w:spacing w:after="0"/>
        <w:ind w:left="851" w:hanging="284"/>
        <w:jc w:val="both"/>
        <w:rPr>
          <w:sz w:val="24"/>
          <w:szCs w:val="24"/>
        </w:rPr>
      </w:pPr>
      <w:r w:rsidRPr="00070DAE">
        <w:rPr>
          <w:sz w:val="24"/>
          <w:szCs w:val="24"/>
        </w:rPr>
        <w:t>•</w:t>
      </w:r>
      <w:r w:rsidRPr="00070DAE">
        <w:rPr>
          <w:sz w:val="24"/>
          <w:szCs w:val="24"/>
        </w:rPr>
        <w:tab/>
        <w:t>Увеличаване на междуремонтния пробег чрез повишаване надеждността и сигурността на съоръженията</w:t>
      </w:r>
      <w:r w:rsidR="00D43D03">
        <w:rPr>
          <w:sz w:val="24"/>
          <w:szCs w:val="24"/>
        </w:rPr>
        <w:t>;</w:t>
      </w:r>
    </w:p>
    <w:p w:rsidR="00D8733F" w:rsidRPr="00070DAE" w:rsidRDefault="00D8733F" w:rsidP="000B7B0E">
      <w:pPr>
        <w:tabs>
          <w:tab w:val="left" w:pos="851"/>
        </w:tabs>
        <w:spacing w:after="0"/>
        <w:ind w:firstLine="567"/>
        <w:jc w:val="both"/>
        <w:rPr>
          <w:sz w:val="24"/>
          <w:szCs w:val="24"/>
        </w:rPr>
      </w:pPr>
      <w:r w:rsidRPr="00070DAE">
        <w:rPr>
          <w:sz w:val="24"/>
          <w:szCs w:val="24"/>
        </w:rPr>
        <w:t>•</w:t>
      </w:r>
      <w:r w:rsidR="00D43D03">
        <w:rPr>
          <w:sz w:val="24"/>
          <w:szCs w:val="24"/>
        </w:rPr>
        <w:t xml:space="preserve"> </w:t>
      </w:r>
      <w:r w:rsidRPr="00070DAE">
        <w:rPr>
          <w:sz w:val="24"/>
          <w:szCs w:val="24"/>
        </w:rPr>
        <w:tab/>
        <w:t>Намаляване до минимум ил</w:t>
      </w:r>
      <w:r w:rsidR="000B7B0E">
        <w:rPr>
          <w:sz w:val="24"/>
          <w:szCs w:val="24"/>
        </w:rPr>
        <w:t>и напълно изключване на аварий</w:t>
      </w:r>
      <w:r w:rsidRPr="00070DAE">
        <w:rPr>
          <w:sz w:val="24"/>
          <w:szCs w:val="24"/>
        </w:rPr>
        <w:t>ните ремонти</w:t>
      </w:r>
      <w:r w:rsidR="00D43D03">
        <w:rPr>
          <w:sz w:val="24"/>
          <w:szCs w:val="24"/>
        </w:rPr>
        <w:t>;</w:t>
      </w:r>
    </w:p>
    <w:p w:rsidR="00D8733F" w:rsidRPr="00070DAE" w:rsidRDefault="00D8733F" w:rsidP="00D43D03">
      <w:pPr>
        <w:spacing w:after="0"/>
        <w:ind w:firstLine="567"/>
        <w:jc w:val="both"/>
        <w:rPr>
          <w:sz w:val="24"/>
          <w:szCs w:val="24"/>
        </w:rPr>
      </w:pPr>
      <w:r w:rsidRPr="00070DAE">
        <w:rPr>
          <w:sz w:val="24"/>
          <w:szCs w:val="24"/>
        </w:rPr>
        <w:t>•</w:t>
      </w:r>
      <w:r w:rsidRPr="00070DAE">
        <w:rPr>
          <w:sz w:val="24"/>
          <w:szCs w:val="24"/>
        </w:rPr>
        <w:tab/>
      </w:r>
      <w:r w:rsidR="00D43D03">
        <w:rPr>
          <w:sz w:val="24"/>
          <w:szCs w:val="24"/>
        </w:rPr>
        <w:t xml:space="preserve">  </w:t>
      </w:r>
      <w:r w:rsidRPr="00070DAE">
        <w:rPr>
          <w:sz w:val="24"/>
          <w:szCs w:val="24"/>
        </w:rPr>
        <w:t>Поевтиняване на ремонтите</w:t>
      </w:r>
      <w:r w:rsidR="00D43D03">
        <w:rPr>
          <w:sz w:val="24"/>
          <w:szCs w:val="24"/>
        </w:rPr>
        <w:t>;</w:t>
      </w:r>
    </w:p>
    <w:p w:rsidR="00D8733F" w:rsidRPr="00070DAE" w:rsidRDefault="00D8733F" w:rsidP="00D43D03">
      <w:pPr>
        <w:tabs>
          <w:tab w:val="left" w:pos="851"/>
        </w:tabs>
        <w:spacing w:after="0"/>
        <w:ind w:left="851" w:hanging="284"/>
        <w:jc w:val="both"/>
        <w:rPr>
          <w:sz w:val="24"/>
          <w:szCs w:val="24"/>
        </w:rPr>
      </w:pPr>
      <w:r w:rsidRPr="00070DAE">
        <w:rPr>
          <w:sz w:val="24"/>
          <w:szCs w:val="24"/>
        </w:rPr>
        <w:t>•</w:t>
      </w:r>
      <w:r w:rsidR="00D43D03">
        <w:rPr>
          <w:sz w:val="24"/>
          <w:szCs w:val="24"/>
        </w:rPr>
        <w:t xml:space="preserve"> </w:t>
      </w:r>
      <w:r w:rsidRPr="00070DAE">
        <w:rPr>
          <w:sz w:val="24"/>
          <w:szCs w:val="24"/>
        </w:rPr>
        <w:tab/>
        <w:t>Поддържане на КПД на основните производствени мощности на проектното им равнище</w:t>
      </w:r>
      <w:r w:rsidR="00D43D03">
        <w:rPr>
          <w:sz w:val="24"/>
          <w:szCs w:val="24"/>
        </w:rPr>
        <w:t>;</w:t>
      </w:r>
    </w:p>
    <w:p w:rsidR="00D8733F" w:rsidRPr="00070DAE" w:rsidRDefault="00D43D03" w:rsidP="00D43D03">
      <w:pPr>
        <w:tabs>
          <w:tab w:val="left" w:pos="851"/>
        </w:tabs>
        <w:spacing w:after="0"/>
        <w:ind w:firstLine="426"/>
        <w:jc w:val="both"/>
        <w:rPr>
          <w:sz w:val="24"/>
          <w:szCs w:val="24"/>
        </w:rPr>
      </w:pPr>
      <w:r>
        <w:rPr>
          <w:sz w:val="24"/>
          <w:szCs w:val="24"/>
        </w:rPr>
        <w:t xml:space="preserve">   </w:t>
      </w:r>
      <w:r w:rsidR="00D8733F" w:rsidRPr="00070DAE">
        <w:rPr>
          <w:sz w:val="24"/>
          <w:szCs w:val="24"/>
        </w:rPr>
        <w:t>•</w:t>
      </w:r>
      <w:r w:rsidR="00D8733F" w:rsidRPr="00070DAE">
        <w:rPr>
          <w:sz w:val="24"/>
          <w:szCs w:val="24"/>
        </w:rPr>
        <w:tab/>
        <w:t>Подобряване на условията</w:t>
      </w:r>
      <w:r>
        <w:rPr>
          <w:sz w:val="24"/>
          <w:szCs w:val="24"/>
        </w:rPr>
        <w:t xml:space="preserve"> на труд и повишаване безопаст</w:t>
      </w:r>
      <w:r w:rsidR="00D8733F" w:rsidRPr="00070DAE">
        <w:rPr>
          <w:sz w:val="24"/>
          <w:szCs w:val="24"/>
        </w:rPr>
        <w:t>ността на труда</w:t>
      </w:r>
      <w:r>
        <w:rPr>
          <w:sz w:val="24"/>
          <w:szCs w:val="24"/>
        </w:rPr>
        <w:t>.</w:t>
      </w:r>
    </w:p>
    <w:p w:rsidR="00F643D6" w:rsidRDefault="00F643D6" w:rsidP="00D43D03">
      <w:pPr>
        <w:spacing w:after="0"/>
        <w:ind w:firstLine="567"/>
        <w:jc w:val="both"/>
        <w:rPr>
          <w:sz w:val="24"/>
          <w:szCs w:val="24"/>
        </w:rPr>
      </w:pPr>
    </w:p>
    <w:p w:rsidR="00D8733F" w:rsidRPr="00070DAE" w:rsidRDefault="00D8733F" w:rsidP="00D43D03">
      <w:pPr>
        <w:spacing w:after="0"/>
        <w:ind w:firstLine="567"/>
        <w:jc w:val="both"/>
        <w:rPr>
          <w:sz w:val="24"/>
          <w:szCs w:val="24"/>
        </w:rPr>
      </w:pPr>
      <w:r w:rsidRPr="00070DAE">
        <w:rPr>
          <w:sz w:val="24"/>
          <w:szCs w:val="24"/>
        </w:rPr>
        <w:t>Във връзка със създаване на безопасни условия на труд и микроклимат, отговарящ на изискванията на нормативната уредба, постоянна грижа на ръководството на „Видахим” АД е поддържането на сградния  фонд и основните производствени помещения във възможно най-добър вид – възстановяване на фасадите, остъкляване, ремонт на покриви и полагане на необходимата хидроизолация и ремонт на битови помещения.</w:t>
      </w:r>
    </w:p>
    <w:p w:rsidR="00C3042E" w:rsidRPr="00070DAE" w:rsidRDefault="00F643D6" w:rsidP="00D43D03">
      <w:pPr>
        <w:spacing w:after="0"/>
        <w:ind w:firstLine="567"/>
        <w:jc w:val="both"/>
        <w:rPr>
          <w:sz w:val="24"/>
          <w:szCs w:val="24"/>
        </w:rPr>
      </w:pPr>
      <w:r>
        <w:rPr>
          <w:sz w:val="24"/>
          <w:szCs w:val="24"/>
        </w:rPr>
        <w:t>В обобщение, предвидената</w:t>
      </w:r>
      <w:r w:rsidR="00D8733F" w:rsidRPr="00070DAE">
        <w:rPr>
          <w:sz w:val="24"/>
          <w:szCs w:val="24"/>
        </w:rPr>
        <w:t xml:space="preserve"> ремонтна</w:t>
      </w:r>
      <w:r>
        <w:rPr>
          <w:sz w:val="24"/>
          <w:szCs w:val="24"/>
        </w:rPr>
        <w:t xml:space="preserve"> програма за новия регулаторен период има за цел да осигури безаварийното пускане в експлоатация на ТЕЦ Видин, както и да бъдат </w:t>
      </w:r>
      <w:r w:rsidR="00D8733F" w:rsidRPr="00070DAE">
        <w:rPr>
          <w:sz w:val="24"/>
          <w:szCs w:val="24"/>
        </w:rPr>
        <w:t>избегнат</w:t>
      </w:r>
      <w:r>
        <w:rPr>
          <w:sz w:val="24"/>
          <w:szCs w:val="24"/>
        </w:rPr>
        <w:t>и</w:t>
      </w:r>
      <w:r w:rsidR="00D8733F" w:rsidRPr="00070DAE">
        <w:rPr>
          <w:sz w:val="24"/>
          <w:szCs w:val="24"/>
        </w:rPr>
        <w:t xml:space="preserve"> </w:t>
      </w:r>
      <w:r>
        <w:rPr>
          <w:sz w:val="24"/>
          <w:szCs w:val="24"/>
        </w:rPr>
        <w:t xml:space="preserve">в последствие </w:t>
      </w:r>
      <w:r w:rsidR="00D8733F" w:rsidRPr="00070DAE">
        <w:rPr>
          <w:sz w:val="24"/>
          <w:szCs w:val="24"/>
        </w:rPr>
        <w:t>аварийни ремонти</w:t>
      </w:r>
      <w:r w:rsidR="00EA4A50">
        <w:rPr>
          <w:sz w:val="24"/>
          <w:szCs w:val="24"/>
        </w:rPr>
        <w:t>. Изпълненето на предвидената ремонтна програма ще сведе до минимум възникването на непредвидени ремонтни разходи</w:t>
      </w:r>
      <w:r w:rsidR="00D8733F" w:rsidRPr="00070DAE">
        <w:rPr>
          <w:sz w:val="24"/>
          <w:szCs w:val="24"/>
        </w:rPr>
        <w:t>, ще се повиши сигурността на работа, ще намалеят собствените нужди на електро и топлоенергия и ще се предотврати замърсяването на околната среда.</w:t>
      </w:r>
    </w:p>
    <w:p w:rsidR="00C3042E" w:rsidRDefault="00C3042E" w:rsidP="00C3042E">
      <w:pPr>
        <w:pStyle w:val="ListParagraph"/>
        <w:ind w:left="1080"/>
        <w:rPr>
          <w:b/>
        </w:rPr>
      </w:pPr>
    </w:p>
    <w:p w:rsidR="00C3042E" w:rsidRDefault="00EA4A50" w:rsidP="00D43D03">
      <w:pPr>
        <w:pStyle w:val="ListParagraph"/>
        <w:numPr>
          <w:ilvl w:val="1"/>
          <w:numId w:val="4"/>
        </w:numPr>
        <w:tabs>
          <w:tab w:val="left" w:pos="993"/>
        </w:tabs>
        <w:ind w:left="709" w:hanging="142"/>
        <w:rPr>
          <w:b/>
        </w:rPr>
      </w:pPr>
      <w:r>
        <w:rPr>
          <w:b/>
        </w:rPr>
        <w:t>Разходи, пряко свързани с дейността по лицензията</w:t>
      </w:r>
    </w:p>
    <w:p w:rsidR="00C3042E" w:rsidRDefault="00C3042E" w:rsidP="00C3042E">
      <w:pPr>
        <w:pStyle w:val="ListParagraph"/>
        <w:ind w:left="1080"/>
        <w:rPr>
          <w:b/>
        </w:rPr>
      </w:pPr>
    </w:p>
    <w:p w:rsidR="00EA4A50" w:rsidRDefault="00EA4A50" w:rsidP="00D43D03">
      <w:pPr>
        <w:pStyle w:val="ListParagraph"/>
        <w:ind w:left="0" w:firstLine="567"/>
        <w:jc w:val="both"/>
        <w:rPr>
          <w:sz w:val="24"/>
          <w:szCs w:val="24"/>
        </w:rPr>
      </w:pPr>
      <w:r>
        <w:rPr>
          <w:sz w:val="24"/>
          <w:szCs w:val="24"/>
        </w:rPr>
        <w:t>Планираните р</w:t>
      </w:r>
      <w:r w:rsidR="00070DAE" w:rsidRPr="00070DAE">
        <w:rPr>
          <w:sz w:val="24"/>
          <w:szCs w:val="24"/>
        </w:rPr>
        <w:t>азходи</w:t>
      </w:r>
      <w:r w:rsidR="00BF1009" w:rsidRPr="00070DAE">
        <w:rPr>
          <w:sz w:val="24"/>
          <w:szCs w:val="24"/>
        </w:rPr>
        <w:t xml:space="preserve">, пряко свързани с дейността по лицензията за </w:t>
      </w:r>
      <w:r>
        <w:rPr>
          <w:sz w:val="24"/>
          <w:szCs w:val="24"/>
        </w:rPr>
        <w:t>новия</w:t>
      </w:r>
      <w:r w:rsidR="00BF1009" w:rsidRPr="00070DAE">
        <w:rPr>
          <w:sz w:val="24"/>
          <w:szCs w:val="24"/>
        </w:rPr>
        <w:t xml:space="preserve"> регулаторен период </w:t>
      </w:r>
      <w:r w:rsidR="000B7B0E">
        <w:rPr>
          <w:sz w:val="24"/>
          <w:szCs w:val="24"/>
        </w:rPr>
        <w:t xml:space="preserve">възлизат </w:t>
      </w:r>
      <w:r w:rsidR="000B7B0E" w:rsidRPr="00187A35">
        <w:rPr>
          <w:sz w:val="24"/>
          <w:szCs w:val="24"/>
        </w:rPr>
        <w:t>на</w:t>
      </w:r>
      <w:r>
        <w:rPr>
          <w:sz w:val="24"/>
          <w:szCs w:val="24"/>
        </w:rPr>
        <w:t xml:space="preserve"> 3 461</w:t>
      </w:r>
      <w:r w:rsidR="00EE3D55">
        <w:rPr>
          <w:sz w:val="24"/>
          <w:szCs w:val="24"/>
        </w:rPr>
        <w:t xml:space="preserve"> </w:t>
      </w:r>
      <w:r w:rsidR="000B7B0E" w:rsidRPr="00187A35">
        <w:rPr>
          <w:sz w:val="24"/>
          <w:szCs w:val="24"/>
        </w:rPr>
        <w:t>хил</w:t>
      </w:r>
      <w:r w:rsidR="00187A35">
        <w:rPr>
          <w:sz w:val="24"/>
          <w:szCs w:val="24"/>
          <w:lang w:val="en-US"/>
        </w:rPr>
        <w:t>.</w:t>
      </w:r>
      <w:r w:rsidR="000B7B0E">
        <w:rPr>
          <w:sz w:val="24"/>
          <w:szCs w:val="24"/>
        </w:rPr>
        <w:t xml:space="preserve"> лв.</w:t>
      </w:r>
      <w:r>
        <w:rPr>
          <w:sz w:val="24"/>
          <w:szCs w:val="24"/>
        </w:rPr>
        <w:t>, като тяхната стойност е изчислена на база ефективната експлоатация на производствените мощности. През 2016 г. ТЕЦ Видин не осъществява производствена дейност, поради което посочените отчентни разходи за този период не могат да бъдат използвани като база за сравнителен анализ.</w:t>
      </w:r>
    </w:p>
    <w:p w:rsidR="00BF1009" w:rsidRPr="00BF1009" w:rsidRDefault="00BF1009" w:rsidP="00BF1009">
      <w:pPr>
        <w:pStyle w:val="ListParagraph"/>
        <w:ind w:left="0"/>
      </w:pPr>
    </w:p>
    <w:p w:rsidR="00C3042E" w:rsidRPr="00C3042E" w:rsidRDefault="00EA4A50" w:rsidP="00D43D03">
      <w:pPr>
        <w:pStyle w:val="ListParagraph"/>
        <w:numPr>
          <w:ilvl w:val="0"/>
          <w:numId w:val="4"/>
        </w:numPr>
        <w:tabs>
          <w:tab w:val="left" w:pos="993"/>
        </w:tabs>
        <w:ind w:hanging="153"/>
        <w:rPr>
          <w:b/>
        </w:rPr>
      </w:pPr>
      <w:r>
        <w:rPr>
          <w:b/>
        </w:rPr>
        <w:t>Възръщаемост</w:t>
      </w:r>
    </w:p>
    <w:p w:rsidR="00EA4A50" w:rsidRDefault="00EA4A50" w:rsidP="00D43D03">
      <w:pPr>
        <w:spacing w:after="0"/>
        <w:ind w:firstLine="567"/>
        <w:jc w:val="both"/>
        <w:rPr>
          <w:sz w:val="24"/>
          <w:szCs w:val="24"/>
        </w:rPr>
      </w:pPr>
      <w:r>
        <w:rPr>
          <w:sz w:val="24"/>
          <w:szCs w:val="24"/>
        </w:rPr>
        <w:t>При прогнозиране на възвръщаемостта от високоефективно комбинирано производство са направени разчети за новия регулаторен период съгласно Указанията на комисията за попълване на справките за образуване на цените на електрическата и топлинната енергия. Включената норма на възвръщаемост на собствения капитал е в размер на 5,0%, респективно среднопретеглената норма на възвръщаемост, залегнала при ценообразуването е 5,56%.</w:t>
      </w:r>
    </w:p>
    <w:p w:rsidR="00DE658C" w:rsidRPr="001B6BA1" w:rsidRDefault="00DE658C" w:rsidP="00D43D03">
      <w:pPr>
        <w:spacing w:after="0"/>
        <w:ind w:firstLine="567"/>
        <w:jc w:val="both"/>
        <w:rPr>
          <w:sz w:val="24"/>
          <w:szCs w:val="24"/>
          <w:lang w:val="en-GB"/>
        </w:rPr>
      </w:pPr>
    </w:p>
    <w:p w:rsidR="003C4477" w:rsidRPr="00070DAE" w:rsidRDefault="00E422E9" w:rsidP="00DE658C">
      <w:pPr>
        <w:spacing w:after="0"/>
        <w:ind w:firstLine="567"/>
        <w:jc w:val="both"/>
        <w:rPr>
          <w:sz w:val="24"/>
          <w:szCs w:val="24"/>
        </w:rPr>
      </w:pPr>
      <w:r>
        <w:rPr>
          <w:sz w:val="24"/>
          <w:szCs w:val="24"/>
        </w:rPr>
        <w:t xml:space="preserve">В заключение, </w:t>
      </w:r>
      <w:r w:rsidR="00E838E8" w:rsidRPr="00070DAE">
        <w:rPr>
          <w:sz w:val="24"/>
          <w:szCs w:val="24"/>
        </w:rPr>
        <w:t xml:space="preserve">считаме че предложената от </w:t>
      </w:r>
      <w:r w:rsidR="00DE658C">
        <w:rPr>
          <w:sz w:val="24"/>
          <w:szCs w:val="24"/>
        </w:rPr>
        <w:t>„</w:t>
      </w:r>
      <w:r w:rsidR="00E838E8" w:rsidRPr="00070DAE">
        <w:rPr>
          <w:sz w:val="24"/>
          <w:szCs w:val="24"/>
        </w:rPr>
        <w:t>Видахим</w:t>
      </w:r>
      <w:r w:rsidR="00DE658C">
        <w:rPr>
          <w:sz w:val="24"/>
          <w:szCs w:val="24"/>
        </w:rPr>
        <w:t>“</w:t>
      </w:r>
      <w:r w:rsidR="00E838E8" w:rsidRPr="00070DAE">
        <w:rPr>
          <w:sz w:val="24"/>
          <w:szCs w:val="24"/>
        </w:rPr>
        <w:t xml:space="preserve">АД </w:t>
      </w:r>
      <w:r w:rsidR="00686B2C">
        <w:rPr>
          <w:sz w:val="24"/>
          <w:szCs w:val="24"/>
        </w:rPr>
        <w:t>ценова рамка за произво</w:t>
      </w:r>
      <w:r w:rsidR="000247AE">
        <w:rPr>
          <w:sz w:val="24"/>
          <w:szCs w:val="24"/>
        </w:rPr>
        <w:t>д</w:t>
      </w:r>
      <w:r w:rsidR="00686B2C">
        <w:rPr>
          <w:sz w:val="24"/>
          <w:szCs w:val="24"/>
        </w:rPr>
        <w:t>ство на високо</w:t>
      </w:r>
      <w:r w:rsidR="000247AE">
        <w:rPr>
          <w:sz w:val="24"/>
          <w:szCs w:val="24"/>
        </w:rPr>
        <w:t>ефективна</w:t>
      </w:r>
      <w:r w:rsidR="00E838E8" w:rsidRPr="00070DAE">
        <w:rPr>
          <w:sz w:val="24"/>
          <w:szCs w:val="24"/>
        </w:rPr>
        <w:t xml:space="preserve"> комбинирана </w:t>
      </w:r>
      <w:r w:rsidR="00686B2C">
        <w:rPr>
          <w:sz w:val="24"/>
          <w:szCs w:val="24"/>
        </w:rPr>
        <w:t xml:space="preserve">електрическа и топлинна </w:t>
      </w:r>
      <w:r w:rsidR="00E838E8" w:rsidRPr="00070DAE">
        <w:rPr>
          <w:sz w:val="24"/>
          <w:szCs w:val="24"/>
        </w:rPr>
        <w:t xml:space="preserve">енергия за </w:t>
      </w:r>
      <w:r w:rsidR="00E838E8" w:rsidRPr="00070DAE">
        <w:rPr>
          <w:sz w:val="24"/>
          <w:szCs w:val="24"/>
        </w:rPr>
        <w:lastRenderedPageBreak/>
        <w:t>новия ценови период от 1 юли 201</w:t>
      </w:r>
      <w:r w:rsidR="00686B2C">
        <w:rPr>
          <w:sz w:val="24"/>
          <w:szCs w:val="24"/>
        </w:rPr>
        <w:t>7</w:t>
      </w:r>
      <w:r w:rsidR="00E838E8" w:rsidRPr="00070DAE">
        <w:rPr>
          <w:sz w:val="24"/>
          <w:szCs w:val="24"/>
        </w:rPr>
        <w:t xml:space="preserve"> г. отразява текущите нива на разходите за горива, въглеродни емисии и условно-постоянни разходи, прогнозирани при спазване Наредбите и Указанията на комисията. </w:t>
      </w:r>
      <w:r w:rsidR="00A72B3D" w:rsidRPr="00070DAE">
        <w:rPr>
          <w:sz w:val="24"/>
          <w:szCs w:val="24"/>
        </w:rPr>
        <w:t xml:space="preserve">Дружеството не разполага с необходимия финансов резерв за покриване на </w:t>
      </w:r>
      <w:r w:rsidR="00DE658C">
        <w:rPr>
          <w:sz w:val="24"/>
          <w:szCs w:val="24"/>
        </w:rPr>
        <w:t xml:space="preserve">всякакви </w:t>
      </w:r>
      <w:r w:rsidR="00A72B3D" w:rsidRPr="00070DAE">
        <w:rPr>
          <w:sz w:val="24"/>
          <w:szCs w:val="24"/>
        </w:rPr>
        <w:t>негативни изменения</w:t>
      </w:r>
      <w:r w:rsidR="00DE658C">
        <w:rPr>
          <w:sz w:val="24"/>
          <w:szCs w:val="24"/>
        </w:rPr>
        <w:t xml:space="preserve"> в цените на въглищата или промяна на валутните курсове, като и за преодоляване на плащания, въведени със </w:t>
      </w:r>
      <w:r w:rsidR="00686B2C">
        <w:rPr>
          <w:sz w:val="24"/>
          <w:szCs w:val="24"/>
        </w:rPr>
        <w:t>ЗЕ</w:t>
      </w:r>
      <w:r w:rsidR="00DE658C">
        <w:rPr>
          <w:sz w:val="24"/>
          <w:szCs w:val="24"/>
        </w:rPr>
        <w:t xml:space="preserve">. </w:t>
      </w:r>
    </w:p>
    <w:p w:rsidR="007B2979" w:rsidRDefault="007B2979" w:rsidP="004E112A">
      <w:pPr>
        <w:ind w:firstLine="567"/>
        <w:jc w:val="both"/>
        <w:rPr>
          <w:b/>
          <w:sz w:val="24"/>
          <w:szCs w:val="24"/>
        </w:rPr>
      </w:pPr>
    </w:p>
    <w:p w:rsidR="004E112A" w:rsidRPr="00AE56F6" w:rsidRDefault="004E112A" w:rsidP="004E112A">
      <w:pPr>
        <w:ind w:firstLine="567"/>
        <w:jc w:val="both"/>
        <w:rPr>
          <w:b/>
          <w:sz w:val="24"/>
          <w:szCs w:val="24"/>
        </w:rPr>
      </w:pPr>
      <w:r w:rsidRPr="00AE56F6">
        <w:rPr>
          <w:b/>
          <w:sz w:val="24"/>
          <w:szCs w:val="24"/>
        </w:rPr>
        <w:t xml:space="preserve">Въз основа на гореизложеното и на основание </w:t>
      </w:r>
      <w:r w:rsidR="00686B2C">
        <w:rPr>
          <w:b/>
          <w:sz w:val="24"/>
          <w:szCs w:val="24"/>
        </w:rPr>
        <w:t xml:space="preserve">чл. 30, ал. 4 от Закона за енергетиката и </w:t>
      </w:r>
      <w:r w:rsidRPr="00AE56F6">
        <w:rPr>
          <w:b/>
          <w:sz w:val="24"/>
          <w:szCs w:val="24"/>
        </w:rPr>
        <w:t>чл.</w:t>
      </w:r>
      <w:r w:rsidR="00686B2C">
        <w:rPr>
          <w:b/>
          <w:sz w:val="24"/>
          <w:szCs w:val="24"/>
        </w:rPr>
        <w:t xml:space="preserve"> </w:t>
      </w:r>
      <w:r w:rsidRPr="00AE56F6">
        <w:rPr>
          <w:b/>
          <w:sz w:val="24"/>
          <w:szCs w:val="24"/>
        </w:rPr>
        <w:t>24 от Наредбата за регулиране на ценит</w:t>
      </w:r>
      <w:r w:rsidR="00D87766" w:rsidRPr="00AE56F6">
        <w:rPr>
          <w:b/>
          <w:sz w:val="24"/>
          <w:szCs w:val="24"/>
        </w:rPr>
        <w:t xml:space="preserve">е на топлинната енергия, </w:t>
      </w:r>
      <w:r w:rsidR="00865B30" w:rsidRPr="00AE56F6">
        <w:rPr>
          <w:b/>
          <w:sz w:val="24"/>
          <w:szCs w:val="24"/>
        </w:rPr>
        <w:t>предлагаме</w:t>
      </w:r>
      <w:r w:rsidR="00D87766" w:rsidRPr="00AE56F6">
        <w:rPr>
          <w:b/>
          <w:sz w:val="24"/>
          <w:szCs w:val="24"/>
        </w:rPr>
        <w:t xml:space="preserve"> </w:t>
      </w:r>
      <w:r w:rsidRPr="00AE56F6">
        <w:rPr>
          <w:b/>
          <w:sz w:val="24"/>
          <w:szCs w:val="24"/>
        </w:rPr>
        <w:t xml:space="preserve">КЕВР да </w:t>
      </w:r>
      <w:r w:rsidR="00865B30" w:rsidRPr="00AE56F6">
        <w:rPr>
          <w:b/>
          <w:sz w:val="24"/>
          <w:szCs w:val="24"/>
        </w:rPr>
        <w:t>утвърди следните цени за периода 01.07.201</w:t>
      </w:r>
      <w:r w:rsidR="00686B2C">
        <w:rPr>
          <w:b/>
          <w:sz w:val="24"/>
          <w:szCs w:val="24"/>
        </w:rPr>
        <w:t>7</w:t>
      </w:r>
      <w:r w:rsidR="00865B30" w:rsidRPr="00AE56F6">
        <w:rPr>
          <w:b/>
          <w:sz w:val="24"/>
          <w:szCs w:val="24"/>
        </w:rPr>
        <w:t xml:space="preserve"> – 30.06.201</w:t>
      </w:r>
      <w:r w:rsidR="00686B2C">
        <w:rPr>
          <w:b/>
          <w:sz w:val="24"/>
          <w:szCs w:val="24"/>
        </w:rPr>
        <w:t>8</w:t>
      </w:r>
      <w:r w:rsidR="00865B30" w:rsidRPr="00AE56F6">
        <w:rPr>
          <w:b/>
          <w:sz w:val="24"/>
          <w:szCs w:val="24"/>
        </w:rPr>
        <w:t xml:space="preserve"> г., при ценообразуващи елементи:</w:t>
      </w:r>
    </w:p>
    <w:p w:rsidR="00865B30" w:rsidRPr="00AE56F6" w:rsidRDefault="00865B30" w:rsidP="00865B30">
      <w:pPr>
        <w:pStyle w:val="ListParagraph"/>
        <w:numPr>
          <w:ilvl w:val="0"/>
          <w:numId w:val="6"/>
        </w:numPr>
        <w:jc w:val="both"/>
        <w:rPr>
          <w:b/>
          <w:sz w:val="24"/>
          <w:szCs w:val="24"/>
        </w:rPr>
      </w:pPr>
      <w:r w:rsidRPr="00AE56F6">
        <w:rPr>
          <w:b/>
          <w:sz w:val="24"/>
          <w:szCs w:val="24"/>
        </w:rPr>
        <w:t xml:space="preserve">Преференциална цена на електрическата енергия (без ДДС) – </w:t>
      </w:r>
      <w:r w:rsidR="00C82964">
        <w:rPr>
          <w:b/>
          <w:sz w:val="24"/>
          <w:szCs w:val="24"/>
        </w:rPr>
        <w:t>15</w:t>
      </w:r>
      <w:r w:rsidR="00686B2C">
        <w:rPr>
          <w:b/>
          <w:sz w:val="24"/>
          <w:szCs w:val="24"/>
        </w:rPr>
        <w:t>3</w:t>
      </w:r>
      <w:r w:rsidR="00C82964">
        <w:rPr>
          <w:b/>
          <w:sz w:val="24"/>
          <w:szCs w:val="24"/>
        </w:rPr>
        <w:t>,</w:t>
      </w:r>
      <w:r w:rsidR="00686B2C">
        <w:rPr>
          <w:b/>
          <w:sz w:val="24"/>
          <w:szCs w:val="24"/>
        </w:rPr>
        <w:t>61</w:t>
      </w:r>
      <w:r w:rsidR="00C82964">
        <w:rPr>
          <w:b/>
          <w:sz w:val="24"/>
          <w:szCs w:val="24"/>
        </w:rPr>
        <w:t xml:space="preserve"> </w:t>
      </w:r>
      <w:r w:rsidRPr="00AE56F6">
        <w:rPr>
          <w:b/>
          <w:sz w:val="24"/>
          <w:szCs w:val="24"/>
        </w:rPr>
        <w:t xml:space="preserve">лв./MWh, в т. ч.: </w:t>
      </w:r>
    </w:p>
    <w:p w:rsidR="00865B30" w:rsidRPr="00AE56F6" w:rsidRDefault="00865B30" w:rsidP="00AE56F6">
      <w:pPr>
        <w:pStyle w:val="ListParagraph"/>
        <w:numPr>
          <w:ilvl w:val="0"/>
          <w:numId w:val="10"/>
        </w:numPr>
        <w:jc w:val="both"/>
        <w:rPr>
          <w:b/>
          <w:sz w:val="24"/>
          <w:szCs w:val="24"/>
        </w:rPr>
      </w:pPr>
      <w:r w:rsidRPr="00AE56F6">
        <w:rPr>
          <w:b/>
          <w:sz w:val="24"/>
          <w:szCs w:val="24"/>
        </w:rPr>
        <w:t>индивидуални разходи за единица ен</w:t>
      </w:r>
      <w:r w:rsidR="00AE56F6" w:rsidRPr="00AE56F6">
        <w:rPr>
          <w:b/>
          <w:sz w:val="24"/>
          <w:szCs w:val="24"/>
        </w:rPr>
        <w:t xml:space="preserve">ергия – </w:t>
      </w:r>
      <w:r w:rsidR="00C82964">
        <w:rPr>
          <w:b/>
          <w:sz w:val="24"/>
          <w:szCs w:val="24"/>
        </w:rPr>
        <w:t>15</w:t>
      </w:r>
      <w:r w:rsidR="00686B2C">
        <w:rPr>
          <w:b/>
          <w:sz w:val="24"/>
          <w:szCs w:val="24"/>
        </w:rPr>
        <w:t>3</w:t>
      </w:r>
      <w:r w:rsidR="00C82964">
        <w:rPr>
          <w:b/>
          <w:sz w:val="24"/>
          <w:szCs w:val="24"/>
        </w:rPr>
        <w:t>,</w:t>
      </w:r>
      <w:r w:rsidR="00686B2C">
        <w:rPr>
          <w:b/>
          <w:sz w:val="24"/>
          <w:szCs w:val="24"/>
        </w:rPr>
        <w:t>60</w:t>
      </w:r>
      <w:r w:rsidRPr="00AE56F6">
        <w:rPr>
          <w:b/>
          <w:sz w:val="24"/>
          <w:szCs w:val="24"/>
        </w:rPr>
        <w:t xml:space="preserve"> лв./MWh - добавка по чл. 33, ал. 3 от ЗЕ – 0,01 лв./MWh </w:t>
      </w:r>
    </w:p>
    <w:p w:rsidR="00865B30" w:rsidRPr="00AE56F6" w:rsidRDefault="00865B30" w:rsidP="00865B30">
      <w:pPr>
        <w:pStyle w:val="ListParagraph"/>
        <w:numPr>
          <w:ilvl w:val="0"/>
          <w:numId w:val="6"/>
        </w:numPr>
        <w:jc w:val="both"/>
        <w:rPr>
          <w:b/>
          <w:sz w:val="24"/>
          <w:szCs w:val="24"/>
        </w:rPr>
      </w:pPr>
      <w:r w:rsidRPr="00AE56F6">
        <w:rPr>
          <w:b/>
          <w:sz w:val="24"/>
          <w:szCs w:val="24"/>
        </w:rPr>
        <w:t xml:space="preserve">Еднокомпонентна цена на топлинната енергия с топлоносител пара (без ДДС) –  </w:t>
      </w:r>
      <w:r w:rsidR="00686B2C">
        <w:rPr>
          <w:b/>
          <w:sz w:val="24"/>
          <w:szCs w:val="24"/>
        </w:rPr>
        <w:t>50,49</w:t>
      </w:r>
      <w:r w:rsidRPr="00AE56F6">
        <w:rPr>
          <w:b/>
          <w:sz w:val="24"/>
          <w:szCs w:val="24"/>
        </w:rPr>
        <w:t xml:space="preserve"> лв./MWh</w:t>
      </w:r>
    </w:p>
    <w:p w:rsidR="00865B30" w:rsidRPr="00AE56F6" w:rsidRDefault="00865B30" w:rsidP="00865B30">
      <w:pPr>
        <w:pStyle w:val="ListParagraph"/>
        <w:numPr>
          <w:ilvl w:val="0"/>
          <w:numId w:val="6"/>
        </w:numPr>
        <w:jc w:val="both"/>
        <w:rPr>
          <w:b/>
          <w:sz w:val="24"/>
          <w:szCs w:val="24"/>
        </w:rPr>
      </w:pPr>
      <w:r w:rsidRPr="00AE56F6">
        <w:rPr>
          <w:b/>
          <w:sz w:val="24"/>
          <w:szCs w:val="24"/>
        </w:rPr>
        <w:t xml:space="preserve">Ценообразуващи елементи на цените по т. 1 и т. 2: </w:t>
      </w:r>
    </w:p>
    <w:p w:rsidR="00865B30" w:rsidRPr="00AE56F6" w:rsidRDefault="00865B30" w:rsidP="00AE56F6">
      <w:pPr>
        <w:pStyle w:val="ListParagraph"/>
        <w:numPr>
          <w:ilvl w:val="0"/>
          <w:numId w:val="9"/>
        </w:numPr>
        <w:jc w:val="both"/>
        <w:rPr>
          <w:b/>
          <w:sz w:val="24"/>
          <w:szCs w:val="24"/>
        </w:rPr>
      </w:pPr>
      <w:r w:rsidRPr="00AE56F6">
        <w:rPr>
          <w:b/>
          <w:sz w:val="24"/>
          <w:szCs w:val="24"/>
        </w:rPr>
        <w:t xml:space="preserve">Необходими годишни приходи – </w:t>
      </w:r>
      <w:r w:rsidR="00686B2C">
        <w:rPr>
          <w:b/>
          <w:sz w:val="24"/>
          <w:szCs w:val="24"/>
        </w:rPr>
        <w:t>57 433</w:t>
      </w:r>
      <w:r w:rsidRPr="00AE56F6">
        <w:rPr>
          <w:b/>
          <w:sz w:val="24"/>
          <w:szCs w:val="24"/>
        </w:rPr>
        <w:t xml:space="preserve"> хил. лв., в т. ч.:</w:t>
      </w:r>
    </w:p>
    <w:p w:rsidR="00865B30" w:rsidRPr="00AE56F6" w:rsidRDefault="00865B30" w:rsidP="00AE56F6">
      <w:pPr>
        <w:pStyle w:val="ListParagraph"/>
        <w:numPr>
          <w:ilvl w:val="0"/>
          <w:numId w:val="9"/>
        </w:numPr>
        <w:jc w:val="both"/>
        <w:rPr>
          <w:b/>
          <w:sz w:val="24"/>
          <w:szCs w:val="24"/>
        </w:rPr>
      </w:pPr>
      <w:r w:rsidRPr="00AE56F6">
        <w:rPr>
          <w:b/>
          <w:sz w:val="24"/>
          <w:szCs w:val="24"/>
        </w:rPr>
        <w:t xml:space="preserve">Разходи – </w:t>
      </w:r>
      <w:r w:rsidR="007B2979">
        <w:rPr>
          <w:b/>
          <w:sz w:val="24"/>
          <w:szCs w:val="24"/>
        </w:rPr>
        <w:t>55 109</w:t>
      </w:r>
      <w:r w:rsidRPr="00AE56F6">
        <w:rPr>
          <w:b/>
          <w:sz w:val="24"/>
          <w:szCs w:val="24"/>
        </w:rPr>
        <w:t xml:space="preserve"> хил. лв., от които условно-постоянни – </w:t>
      </w:r>
      <w:r w:rsidR="007B2979">
        <w:rPr>
          <w:b/>
          <w:sz w:val="24"/>
          <w:szCs w:val="24"/>
        </w:rPr>
        <w:t>16 899</w:t>
      </w:r>
      <w:r w:rsidRPr="00AE56F6">
        <w:rPr>
          <w:b/>
          <w:sz w:val="24"/>
          <w:szCs w:val="24"/>
        </w:rPr>
        <w:t xml:space="preserve"> хил. лв. и променливи – </w:t>
      </w:r>
      <w:r w:rsidR="007B2979">
        <w:rPr>
          <w:b/>
          <w:sz w:val="24"/>
          <w:szCs w:val="24"/>
        </w:rPr>
        <w:t>38 210</w:t>
      </w:r>
      <w:r w:rsidRPr="00AE56F6">
        <w:rPr>
          <w:b/>
          <w:sz w:val="24"/>
          <w:szCs w:val="24"/>
        </w:rPr>
        <w:t xml:space="preserve"> хил. лв. </w:t>
      </w:r>
    </w:p>
    <w:p w:rsidR="00865B30" w:rsidRPr="00AE56F6" w:rsidRDefault="00865B30" w:rsidP="00AE56F6">
      <w:pPr>
        <w:pStyle w:val="ListParagraph"/>
        <w:numPr>
          <w:ilvl w:val="0"/>
          <w:numId w:val="9"/>
        </w:numPr>
        <w:jc w:val="both"/>
        <w:rPr>
          <w:b/>
          <w:sz w:val="24"/>
          <w:szCs w:val="24"/>
        </w:rPr>
      </w:pPr>
      <w:r w:rsidRPr="00AE56F6">
        <w:rPr>
          <w:b/>
          <w:sz w:val="24"/>
          <w:szCs w:val="24"/>
        </w:rPr>
        <w:t xml:space="preserve">Регулаторна база на активите – </w:t>
      </w:r>
      <w:r w:rsidR="007B2979">
        <w:rPr>
          <w:b/>
          <w:sz w:val="24"/>
          <w:szCs w:val="24"/>
        </w:rPr>
        <w:t>41 808</w:t>
      </w:r>
      <w:r w:rsidRPr="00AE56F6">
        <w:rPr>
          <w:b/>
          <w:sz w:val="24"/>
          <w:szCs w:val="24"/>
        </w:rPr>
        <w:t xml:space="preserve"> хил. лв. </w:t>
      </w:r>
    </w:p>
    <w:p w:rsidR="00865B30" w:rsidRPr="00AE56F6" w:rsidRDefault="00865B30" w:rsidP="00AE56F6">
      <w:pPr>
        <w:pStyle w:val="ListParagraph"/>
        <w:numPr>
          <w:ilvl w:val="0"/>
          <w:numId w:val="9"/>
        </w:numPr>
        <w:jc w:val="both"/>
        <w:rPr>
          <w:b/>
          <w:sz w:val="24"/>
          <w:szCs w:val="24"/>
        </w:rPr>
      </w:pPr>
      <w:r w:rsidRPr="00AE56F6">
        <w:rPr>
          <w:b/>
          <w:sz w:val="24"/>
          <w:szCs w:val="24"/>
        </w:rPr>
        <w:t xml:space="preserve">Норма на възвръщаемост – 5,56% </w:t>
      </w:r>
    </w:p>
    <w:p w:rsidR="00865B30" w:rsidRPr="00AE56F6" w:rsidRDefault="00865B30" w:rsidP="00AE56F6">
      <w:pPr>
        <w:pStyle w:val="ListParagraph"/>
        <w:numPr>
          <w:ilvl w:val="0"/>
          <w:numId w:val="9"/>
        </w:numPr>
        <w:jc w:val="both"/>
        <w:rPr>
          <w:b/>
          <w:sz w:val="24"/>
          <w:szCs w:val="24"/>
        </w:rPr>
      </w:pPr>
      <w:r w:rsidRPr="00AE56F6">
        <w:rPr>
          <w:b/>
          <w:sz w:val="24"/>
          <w:szCs w:val="24"/>
        </w:rPr>
        <w:t xml:space="preserve">Електрическа енергия от високоефективно комбинирано производство – </w:t>
      </w:r>
      <w:r w:rsidR="000247AE">
        <w:rPr>
          <w:b/>
          <w:sz w:val="24"/>
          <w:szCs w:val="24"/>
        </w:rPr>
        <w:t xml:space="preserve">160 310 </w:t>
      </w:r>
      <w:r w:rsidRPr="00AE56F6">
        <w:rPr>
          <w:b/>
          <w:sz w:val="24"/>
          <w:szCs w:val="24"/>
        </w:rPr>
        <w:t xml:space="preserve"> MWh, в т.ч. собственото потребление </w:t>
      </w:r>
      <w:r w:rsidR="000247AE">
        <w:rPr>
          <w:b/>
          <w:sz w:val="24"/>
          <w:szCs w:val="24"/>
        </w:rPr>
        <w:t>4 73</w:t>
      </w:r>
      <w:r w:rsidR="007B2979">
        <w:rPr>
          <w:b/>
          <w:sz w:val="24"/>
          <w:szCs w:val="24"/>
        </w:rPr>
        <w:t xml:space="preserve">0 </w:t>
      </w:r>
      <w:r w:rsidRPr="00AE56F6">
        <w:rPr>
          <w:b/>
          <w:sz w:val="24"/>
          <w:szCs w:val="24"/>
        </w:rPr>
        <w:t xml:space="preserve">MWh </w:t>
      </w:r>
    </w:p>
    <w:p w:rsidR="000247AE" w:rsidRDefault="00865B30" w:rsidP="00AE56F6">
      <w:pPr>
        <w:pStyle w:val="ListParagraph"/>
        <w:numPr>
          <w:ilvl w:val="0"/>
          <w:numId w:val="9"/>
        </w:numPr>
        <w:jc w:val="both"/>
        <w:rPr>
          <w:b/>
          <w:sz w:val="24"/>
          <w:szCs w:val="24"/>
        </w:rPr>
      </w:pPr>
      <w:r w:rsidRPr="00AE56F6">
        <w:rPr>
          <w:b/>
          <w:sz w:val="24"/>
          <w:szCs w:val="24"/>
        </w:rPr>
        <w:t>Топлинна енергия с топлоносител водна пара –</w:t>
      </w:r>
      <w:r w:rsidR="007B2979">
        <w:rPr>
          <w:b/>
          <w:sz w:val="24"/>
          <w:szCs w:val="24"/>
        </w:rPr>
        <w:t xml:space="preserve"> 649 800 </w:t>
      </w:r>
      <w:r w:rsidRPr="00AE56F6">
        <w:rPr>
          <w:b/>
          <w:sz w:val="24"/>
          <w:szCs w:val="24"/>
        </w:rPr>
        <w:t>MWh.</w:t>
      </w:r>
    </w:p>
    <w:p w:rsidR="004E112A" w:rsidRPr="00AE56F6" w:rsidRDefault="00865B30" w:rsidP="00AE56F6">
      <w:pPr>
        <w:pStyle w:val="ListParagraph"/>
        <w:numPr>
          <w:ilvl w:val="0"/>
          <w:numId w:val="9"/>
        </w:numPr>
        <w:jc w:val="both"/>
        <w:rPr>
          <w:b/>
          <w:sz w:val="24"/>
          <w:szCs w:val="24"/>
        </w:rPr>
      </w:pPr>
      <w:r w:rsidRPr="00AE56F6">
        <w:rPr>
          <w:b/>
          <w:sz w:val="24"/>
          <w:szCs w:val="24"/>
        </w:rPr>
        <w:t xml:space="preserve">Цена на въглищата – </w:t>
      </w:r>
      <w:r w:rsidR="000247AE">
        <w:rPr>
          <w:b/>
          <w:sz w:val="24"/>
          <w:szCs w:val="24"/>
        </w:rPr>
        <w:t>201,37</w:t>
      </w:r>
      <w:bookmarkStart w:id="0" w:name="_GoBack"/>
      <w:bookmarkEnd w:id="0"/>
      <w:r w:rsidRPr="00AE56F6">
        <w:rPr>
          <w:b/>
          <w:sz w:val="24"/>
          <w:szCs w:val="24"/>
        </w:rPr>
        <w:t xml:space="preserve"> лв./t при калоричност 5 900 kcal/kg.</w:t>
      </w:r>
    </w:p>
    <w:p w:rsidR="004E112A" w:rsidRPr="00AE56F6" w:rsidRDefault="004E112A" w:rsidP="004E112A">
      <w:pPr>
        <w:jc w:val="both"/>
        <w:rPr>
          <w:b/>
          <w:sz w:val="24"/>
          <w:szCs w:val="24"/>
        </w:rPr>
      </w:pPr>
    </w:p>
    <w:p w:rsidR="004E112A" w:rsidRPr="00AE56F6" w:rsidRDefault="004E112A" w:rsidP="004E112A">
      <w:pPr>
        <w:jc w:val="both"/>
        <w:rPr>
          <w:b/>
          <w:sz w:val="24"/>
          <w:szCs w:val="24"/>
        </w:rPr>
      </w:pPr>
    </w:p>
    <w:p w:rsidR="004E112A" w:rsidRPr="00AE56F6" w:rsidRDefault="004E112A" w:rsidP="004E112A">
      <w:pPr>
        <w:jc w:val="both"/>
        <w:rPr>
          <w:b/>
          <w:sz w:val="24"/>
          <w:szCs w:val="24"/>
        </w:rPr>
      </w:pPr>
    </w:p>
    <w:p w:rsidR="004E112A" w:rsidRPr="004E112A" w:rsidRDefault="004E112A" w:rsidP="004E112A">
      <w:pPr>
        <w:ind w:left="3540" w:firstLine="708"/>
        <w:jc w:val="both"/>
        <w:rPr>
          <w:sz w:val="24"/>
          <w:szCs w:val="24"/>
        </w:rPr>
      </w:pPr>
      <w:r w:rsidRPr="004E112A">
        <w:rPr>
          <w:sz w:val="24"/>
          <w:szCs w:val="24"/>
        </w:rPr>
        <w:t>Изпълнителен Директор: .......................</w:t>
      </w:r>
    </w:p>
    <w:p w:rsidR="004E112A" w:rsidRPr="004E112A" w:rsidRDefault="004E112A" w:rsidP="004E112A">
      <w:pPr>
        <w:jc w:val="both"/>
        <w:rPr>
          <w:sz w:val="24"/>
          <w:szCs w:val="24"/>
        </w:rPr>
      </w:pP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t xml:space="preserve">/ </w:t>
      </w:r>
      <w:r>
        <w:rPr>
          <w:sz w:val="24"/>
          <w:szCs w:val="24"/>
        </w:rPr>
        <w:t>инж. Цв. Лещарски</w:t>
      </w:r>
      <w:r w:rsidRPr="004E112A">
        <w:rPr>
          <w:sz w:val="24"/>
          <w:szCs w:val="24"/>
        </w:rPr>
        <w:t>/</w:t>
      </w:r>
    </w:p>
    <w:p w:rsidR="004E112A" w:rsidRPr="004E112A" w:rsidRDefault="004E112A" w:rsidP="004E112A">
      <w:pPr>
        <w:jc w:val="both"/>
        <w:rPr>
          <w:sz w:val="24"/>
          <w:szCs w:val="24"/>
        </w:rPr>
      </w:pPr>
    </w:p>
    <w:p w:rsidR="004E112A" w:rsidRPr="004E112A" w:rsidRDefault="004E112A" w:rsidP="004E112A">
      <w:pPr>
        <w:ind w:left="3540" w:firstLine="708"/>
        <w:jc w:val="both"/>
        <w:rPr>
          <w:sz w:val="24"/>
          <w:szCs w:val="24"/>
        </w:rPr>
      </w:pPr>
      <w:r w:rsidRPr="004E112A">
        <w:rPr>
          <w:sz w:val="24"/>
          <w:szCs w:val="24"/>
        </w:rPr>
        <w:t>Изпълнителен Директор: .......................</w:t>
      </w:r>
    </w:p>
    <w:p w:rsidR="004E112A" w:rsidRPr="004E112A" w:rsidRDefault="004E112A" w:rsidP="004E112A">
      <w:pPr>
        <w:jc w:val="both"/>
        <w:rPr>
          <w:sz w:val="24"/>
          <w:szCs w:val="24"/>
        </w:rPr>
      </w:pP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r>
      <w:r w:rsidRPr="004E112A">
        <w:rPr>
          <w:sz w:val="24"/>
          <w:szCs w:val="24"/>
        </w:rPr>
        <w:tab/>
        <w:t>/ Ченко Ченков /</w:t>
      </w:r>
    </w:p>
    <w:p w:rsidR="00A72B3D" w:rsidRPr="00A72B3D" w:rsidRDefault="00A72B3D" w:rsidP="00E838E8">
      <w:pPr>
        <w:jc w:val="both"/>
      </w:pPr>
    </w:p>
    <w:sectPr w:rsidR="00A72B3D" w:rsidRPr="00A72B3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94C" w:rsidRDefault="0086794C" w:rsidP="00F80490">
      <w:pPr>
        <w:spacing w:after="0" w:line="240" w:lineRule="auto"/>
      </w:pPr>
      <w:r>
        <w:separator/>
      </w:r>
    </w:p>
  </w:endnote>
  <w:endnote w:type="continuationSeparator" w:id="0">
    <w:p w:rsidR="0086794C" w:rsidRDefault="0086794C" w:rsidP="00F80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tka Small">
    <w:altName w:val="Times New Roman"/>
    <w:charset w:val="CC"/>
    <w:family w:val="auto"/>
    <w:pitch w:val="variable"/>
    <w:sig w:usb0="00000001"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94C" w:rsidRDefault="0086794C" w:rsidP="00F80490">
      <w:pPr>
        <w:spacing w:after="0" w:line="240" w:lineRule="auto"/>
      </w:pPr>
      <w:r>
        <w:separator/>
      </w:r>
    </w:p>
  </w:footnote>
  <w:footnote w:type="continuationSeparator" w:id="0">
    <w:p w:rsidR="0086794C" w:rsidRDefault="0086794C" w:rsidP="00F804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8E8" w:rsidRDefault="00E838E8">
    <w:pPr>
      <w:pStyle w:val="Header"/>
    </w:pPr>
    <w:r w:rsidRPr="00CD7F13">
      <w:rPr>
        <w:noProof/>
        <w:sz w:val="28"/>
        <w:szCs w:val="28"/>
        <w:lang w:eastAsia="bg-BG"/>
      </w:rPr>
      <w:drawing>
        <wp:inline distT="0" distB="0" distL="0" distR="0">
          <wp:extent cx="5760720" cy="908884"/>
          <wp:effectExtent l="0" t="0" r="0" b="5715"/>
          <wp:docPr id="2" name="Picture 2" descr="2a 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a OL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0888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D0C5C"/>
    <w:multiLevelType w:val="multilevel"/>
    <w:tmpl w:val="C9122D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AF444D"/>
    <w:multiLevelType w:val="hybridMultilevel"/>
    <w:tmpl w:val="82B03D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E2B139D"/>
    <w:multiLevelType w:val="hybridMultilevel"/>
    <w:tmpl w:val="271839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13D5FCE"/>
    <w:multiLevelType w:val="hybridMultilevel"/>
    <w:tmpl w:val="86AE4504"/>
    <w:lvl w:ilvl="0" w:tplc="64D23FB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
    <w:nsid w:val="2625143A"/>
    <w:multiLevelType w:val="hybridMultilevel"/>
    <w:tmpl w:val="A08A499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16528D2"/>
    <w:multiLevelType w:val="hybridMultilevel"/>
    <w:tmpl w:val="59DE1158"/>
    <w:lvl w:ilvl="0" w:tplc="449C81D6">
      <w:start w:val="3"/>
      <w:numFmt w:val="bullet"/>
      <w:lvlText w:val="-"/>
      <w:lvlJc w:val="left"/>
      <w:pPr>
        <w:ind w:left="927" w:hanging="360"/>
      </w:pPr>
      <w:rPr>
        <w:rFonts w:ascii="Calibri" w:eastAsiaTheme="minorHAnsi" w:hAnsi="Calibri" w:cs="Calibri"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nsid w:val="32F75B06"/>
    <w:multiLevelType w:val="multilevel"/>
    <w:tmpl w:val="F45E5E6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37C11A88"/>
    <w:multiLevelType w:val="hybridMultilevel"/>
    <w:tmpl w:val="03A40F50"/>
    <w:lvl w:ilvl="0" w:tplc="0402000F">
      <w:start w:val="1"/>
      <w:numFmt w:val="decimal"/>
      <w:lvlText w:val="%1."/>
      <w:lvlJc w:val="left"/>
      <w:pPr>
        <w:ind w:left="1440" w:hanging="360"/>
      </w:pPr>
      <w:rPr>
        <w:rFont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nsid w:val="4A795B3B"/>
    <w:multiLevelType w:val="hybridMultilevel"/>
    <w:tmpl w:val="5DA607E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nsid w:val="520254BF"/>
    <w:multiLevelType w:val="hybridMultilevel"/>
    <w:tmpl w:val="0390EF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3AB0070"/>
    <w:multiLevelType w:val="hybridMultilevel"/>
    <w:tmpl w:val="EF727122"/>
    <w:lvl w:ilvl="0" w:tplc="BF9C33B4">
      <w:start w:val="1"/>
      <w:numFmt w:val="bullet"/>
      <w:lvlText w:val="-"/>
      <w:lvlJc w:val="left"/>
      <w:pPr>
        <w:ind w:left="1068" w:hanging="360"/>
      </w:pPr>
      <w:rPr>
        <w:rFonts w:ascii="Sitka Small" w:hAnsi="Sitka Smal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1">
    <w:nsid w:val="5BE472D4"/>
    <w:multiLevelType w:val="hybridMultilevel"/>
    <w:tmpl w:val="E20212E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0D616D9"/>
    <w:multiLevelType w:val="hybridMultilevel"/>
    <w:tmpl w:val="616E0D9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3">
    <w:nsid w:val="768107B0"/>
    <w:multiLevelType w:val="hybridMultilevel"/>
    <w:tmpl w:val="33BC060A"/>
    <w:lvl w:ilvl="0" w:tplc="BF9C33B4">
      <w:start w:val="1"/>
      <w:numFmt w:val="bullet"/>
      <w:lvlText w:val="-"/>
      <w:lvlJc w:val="left"/>
      <w:pPr>
        <w:ind w:left="1440" w:hanging="360"/>
      </w:pPr>
      <w:rPr>
        <w:rFonts w:ascii="Sitka Small" w:hAnsi="Sitka Smal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0"/>
  </w:num>
  <w:num w:numId="2">
    <w:abstractNumId w:val="11"/>
  </w:num>
  <w:num w:numId="3">
    <w:abstractNumId w:val="2"/>
  </w:num>
  <w:num w:numId="4">
    <w:abstractNumId w:val="6"/>
  </w:num>
  <w:num w:numId="5">
    <w:abstractNumId w:val="8"/>
  </w:num>
  <w:num w:numId="6">
    <w:abstractNumId w:val="4"/>
  </w:num>
  <w:num w:numId="7">
    <w:abstractNumId w:val="12"/>
  </w:num>
  <w:num w:numId="8">
    <w:abstractNumId w:val="7"/>
  </w:num>
  <w:num w:numId="9">
    <w:abstractNumId w:val="13"/>
  </w:num>
  <w:num w:numId="10">
    <w:abstractNumId w:val="10"/>
  </w:num>
  <w:num w:numId="11">
    <w:abstractNumId w:val="9"/>
  </w:num>
  <w:num w:numId="12">
    <w:abstractNumId w:val="1"/>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490"/>
    <w:rsid w:val="00022F06"/>
    <w:rsid w:val="000247AE"/>
    <w:rsid w:val="00037C9A"/>
    <w:rsid w:val="00055F2C"/>
    <w:rsid w:val="00063C41"/>
    <w:rsid w:val="00070DAE"/>
    <w:rsid w:val="000A4C2F"/>
    <w:rsid w:val="000B0B80"/>
    <w:rsid w:val="000B7B0E"/>
    <w:rsid w:val="000D48A2"/>
    <w:rsid w:val="000F469D"/>
    <w:rsid w:val="000F4BD3"/>
    <w:rsid w:val="001038C8"/>
    <w:rsid w:val="00107EC0"/>
    <w:rsid w:val="00113D7A"/>
    <w:rsid w:val="00122F10"/>
    <w:rsid w:val="00136DBF"/>
    <w:rsid w:val="00146EAE"/>
    <w:rsid w:val="00172BD4"/>
    <w:rsid w:val="00181608"/>
    <w:rsid w:val="00187A35"/>
    <w:rsid w:val="001937D5"/>
    <w:rsid w:val="001940F3"/>
    <w:rsid w:val="00194D62"/>
    <w:rsid w:val="001B6BA1"/>
    <w:rsid w:val="001C0A7D"/>
    <w:rsid w:val="001F408A"/>
    <w:rsid w:val="00213C9E"/>
    <w:rsid w:val="00261DC2"/>
    <w:rsid w:val="002B3D8F"/>
    <w:rsid w:val="002F3D59"/>
    <w:rsid w:val="00323F5E"/>
    <w:rsid w:val="003375FD"/>
    <w:rsid w:val="00376F6D"/>
    <w:rsid w:val="003844F1"/>
    <w:rsid w:val="003A1F34"/>
    <w:rsid w:val="003B3B18"/>
    <w:rsid w:val="003C4477"/>
    <w:rsid w:val="003D4A66"/>
    <w:rsid w:val="003F59F2"/>
    <w:rsid w:val="00402566"/>
    <w:rsid w:val="004137F2"/>
    <w:rsid w:val="00417DCD"/>
    <w:rsid w:val="00427F45"/>
    <w:rsid w:val="00444FB0"/>
    <w:rsid w:val="00450556"/>
    <w:rsid w:val="004530E9"/>
    <w:rsid w:val="004A0E7D"/>
    <w:rsid w:val="004E112A"/>
    <w:rsid w:val="004E4E8B"/>
    <w:rsid w:val="0051496E"/>
    <w:rsid w:val="00566474"/>
    <w:rsid w:val="00570832"/>
    <w:rsid w:val="00587F37"/>
    <w:rsid w:val="005B3F7E"/>
    <w:rsid w:val="005B6CB4"/>
    <w:rsid w:val="00604E53"/>
    <w:rsid w:val="00634B03"/>
    <w:rsid w:val="00640D9E"/>
    <w:rsid w:val="006609B8"/>
    <w:rsid w:val="00686B2C"/>
    <w:rsid w:val="00686B8F"/>
    <w:rsid w:val="006941DB"/>
    <w:rsid w:val="00695184"/>
    <w:rsid w:val="006C2543"/>
    <w:rsid w:val="006C6FF5"/>
    <w:rsid w:val="007063B2"/>
    <w:rsid w:val="00716688"/>
    <w:rsid w:val="00726208"/>
    <w:rsid w:val="00793B60"/>
    <w:rsid w:val="007A4AE1"/>
    <w:rsid w:val="007B2979"/>
    <w:rsid w:val="007D1A8E"/>
    <w:rsid w:val="00800240"/>
    <w:rsid w:val="00811105"/>
    <w:rsid w:val="008246D7"/>
    <w:rsid w:val="008318B7"/>
    <w:rsid w:val="008465CA"/>
    <w:rsid w:val="00865B30"/>
    <w:rsid w:val="0086794C"/>
    <w:rsid w:val="00871AAC"/>
    <w:rsid w:val="00875E52"/>
    <w:rsid w:val="008B50A0"/>
    <w:rsid w:val="008C494F"/>
    <w:rsid w:val="008D5760"/>
    <w:rsid w:val="00900BC1"/>
    <w:rsid w:val="00945B55"/>
    <w:rsid w:val="009478A1"/>
    <w:rsid w:val="0096566D"/>
    <w:rsid w:val="009706AE"/>
    <w:rsid w:val="00981E1F"/>
    <w:rsid w:val="009C3DA5"/>
    <w:rsid w:val="009C704A"/>
    <w:rsid w:val="009D1AE9"/>
    <w:rsid w:val="00A038D0"/>
    <w:rsid w:val="00A72B3D"/>
    <w:rsid w:val="00A832A0"/>
    <w:rsid w:val="00AB2659"/>
    <w:rsid w:val="00AC1AC9"/>
    <w:rsid w:val="00AC6487"/>
    <w:rsid w:val="00AD00F3"/>
    <w:rsid w:val="00AD4D1E"/>
    <w:rsid w:val="00AD7ECB"/>
    <w:rsid w:val="00AE56F6"/>
    <w:rsid w:val="00AF508C"/>
    <w:rsid w:val="00AF5D37"/>
    <w:rsid w:val="00B05B49"/>
    <w:rsid w:val="00B24A5C"/>
    <w:rsid w:val="00B94057"/>
    <w:rsid w:val="00B972D5"/>
    <w:rsid w:val="00BA3188"/>
    <w:rsid w:val="00BD3F58"/>
    <w:rsid w:val="00BD7C53"/>
    <w:rsid w:val="00BF1009"/>
    <w:rsid w:val="00C105DC"/>
    <w:rsid w:val="00C14265"/>
    <w:rsid w:val="00C3042E"/>
    <w:rsid w:val="00C64979"/>
    <w:rsid w:val="00C7665D"/>
    <w:rsid w:val="00C82964"/>
    <w:rsid w:val="00C83A1D"/>
    <w:rsid w:val="00CB08B0"/>
    <w:rsid w:val="00CB3139"/>
    <w:rsid w:val="00CC2343"/>
    <w:rsid w:val="00CD0D1E"/>
    <w:rsid w:val="00D05F3E"/>
    <w:rsid w:val="00D1134C"/>
    <w:rsid w:val="00D43D03"/>
    <w:rsid w:val="00D54ED1"/>
    <w:rsid w:val="00D56347"/>
    <w:rsid w:val="00D8733F"/>
    <w:rsid w:val="00D87766"/>
    <w:rsid w:val="00DA4682"/>
    <w:rsid w:val="00DA7187"/>
    <w:rsid w:val="00DB289E"/>
    <w:rsid w:val="00DD2905"/>
    <w:rsid w:val="00DE658C"/>
    <w:rsid w:val="00E05272"/>
    <w:rsid w:val="00E35D85"/>
    <w:rsid w:val="00E422E9"/>
    <w:rsid w:val="00E42EA8"/>
    <w:rsid w:val="00E761F1"/>
    <w:rsid w:val="00E838E8"/>
    <w:rsid w:val="00E95B3A"/>
    <w:rsid w:val="00EA45FF"/>
    <w:rsid w:val="00EA4A50"/>
    <w:rsid w:val="00ED6E85"/>
    <w:rsid w:val="00EE3D55"/>
    <w:rsid w:val="00F20C9B"/>
    <w:rsid w:val="00F23E76"/>
    <w:rsid w:val="00F25872"/>
    <w:rsid w:val="00F3520E"/>
    <w:rsid w:val="00F405C2"/>
    <w:rsid w:val="00F643D6"/>
    <w:rsid w:val="00F74590"/>
    <w:rsid w:val="00F80490"/>
    <w:rsid w:val="00FD7258"/>
    <w:rsid w:val="00FF15B7"/>
    <w:rsid w:val="00FF6D1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04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F80490"/>
  </w:style>
  <w:style w:type="paragraph" w:styleId="Footer">
    <w:name w:val="footer"/>
    <w:basedOn w:val="Normal"/>
    <w:link w:val="FooterChar"/>
    <w:uiPriority w:val="99"/>
    <w:unhideWhenUsed/>
    <w:rsid w:val="00F804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0490"/>
  </w:style>
  <w:style w:type="paragraph" w:styleId="ListParagraph">
    <w:name w:val="List Paragraph"/>
    <w:basedOn w:val="Normal"/>
    <w:uiPriority w:val="34"/>
    <w:qFormat/>
    <w:rsid w:val="00C3042E"/>
    <w:pPr>
      <w:ind w:left="720"/>
      <w:contextualSpacing/>
    </w:pPr>
  </w:style>
  <w:style w:type="paragraph" w:styleId="BalloonText">
    <w:name w:val="Balloon Text"/>
    <w:basedOn w:val="Normal"/>
    <w:link w:val="BalloonTextChar"/>
    <w:uiPriority w:val="99"/>
    <w:semiHidden/>
    <w:unhideWhenUsed/>
    <w:rsid w:val="00634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B03"/>
    <w:rPr>
      <w:rFonts w:ascii="Tahoma" w:hAnsi="Tahoma" w:cs="Tahoma"/>
      <w:sz w:val="16"/>
      <w:szCs w:val="16"/>
    </w:rPr>
  </w:style>
  <w:style w:type="table" w:styleId="TableGrid">
    <w:name w:val="Table Grid"/>
    <w:basedOn w:val="TableNormal"/>
    <w:uiPriority w:val="39"/>
    <w:rsid w:val="0082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04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F80490"/>
  </w:style>
  <w:style w:type="paragraph" w:styleId="Footer">
    <w:name w:val="footer"/>
    <w:basedOn w:val="Normal"/>
    <w:link w:val="FooterChar"/>
    <w:uiPriority w:val="99"/>
    <w:unhideWhenUsed/>
    <w:rsid w:val="00F804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0490"/>
  </w:style>
  <w:style w:type="paragraph" w:styleId="ListParagraph">
    <w:name w:val="List Paragraph"/>
    <w:basedOn w:val="Normal"/>
    <w:uiPriority w:val="34"/>
    <w:qFormat/>
    <w:rsid w:val="00C3042E"/>
    <w:pPr>
      <w:ind w:left="720"/>
      <w:contextualSpacing/>
    </w:pPr>
  </w:style>
  <w:style w:type="paragraph" w:styleId="BalloonText">
    <w:name w:val="Balloon Text"/>
    <w:basedOn w:val="Normal"/>
    <w:link w:val="BalloonTextChar"/>
    <w:uiPriority w:val="99"/>
    <w:semiHidden/>
    <w:unhideWhenUsed/>
    <w:rsid w:val="00634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B03"/>
    <w:rPr>
      <w:rFonts w:ascii="Tahoma" w:hAnsi="Tahoma" w:cs="Tahoma"/>
      <w:sz w:val="16"/>
      <w:szCs w:val="16"/>
    </w:rPr>
  </w:style>
  <w:style w:type="table" w:styleId="TableGrid">
    <w:name w:val="Table Grid"/>
    <w:basedOn w:val="TableNormal"/>
    <w:uiPriority w:val="39"/>
    <w:rsid w:val="0082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515E8-B582-4121-AA49-F315698E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9</Pages>
  <Words>2900</Words>
  <Characters>16533</Characters>
  <Application>Microsoft Office Word</Application>
  <DocSecurity>0</DocSecurity>
  <Lines>137</Lines>
  <Paragraphs>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TPC</dc:creator>
  <cp:lastModifiedBy>AngelovaS</cp:lastModifiedBy>
  <cp:revision>15</cp:revision>
  <cp:lastPrinted>2017-03-28T07:45:00Z</cp:lastPrinted>
  <dcterms:created xsi:type="dcterms:W3CDTF">2017-03-25T09:25:00Z</dcterms:created>
  <dcterms:modified xsi:type="dcterms:W3CDTF">2017-03-28T12:07:00Z</dcterms:modified>
</cp:coreProperties>
</file>